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left"/>
        <w:rPr>
          <w:rFonts w:ascii="黑体" w:hAnsi="黑体" w:eastAsia="黑体" w:cs="宋体"/>
          <w:sz w:val="32"/>
          <w:szCs w:val="32"/>
        </w:rPr>
      </w:pPr>
      <w:r>
        <w:rPr>
          <w:rFonts w:hint="eastAsia" w:ascii="黑体" w:hAnsi="黑体" w:eastAsia="黑体" w:cs="宋体"/>
          <w:sz w:val="32"/>
          <w:szCs w:val="32"/>
        </w:rPr>
        <w:t>附件7：</w:t>
      </w:r>
    </w:p>
    <w:p>
      <w:pPr>
        <w:spacing w:line="560" w:lineRule="exact"/>
        <w:jc w:val="center"/>
        <w:rPr>
          <w:rFonts w:ascii="华文中宋" w:hAnsi="华文中宋" w:eastAsia="华文中宋" w:cs="宋体"/>
          <w:b/>
          <w:kern w:val="0"/>
          <w:sz w:val="52"/>
          <w:szCs w:val="52"/>
        </w:rPr>
      </w:pPr>
    </w:p>
    <w:p>
      <w:pPr>
        <w:spacing w:line="560" w:lineRule="exact"/>
        <w:jc w:val="center"/>
        <w:rPr>
          <w:rFonts w:ascii="华文中宋" w:hAnsi="华文中宋" w:eastAsia="华文中宋" w:cs="宋体"/>
          <w:b/>
          <w:kern w:val="0"/>
          <w:sz w:val="52"/>
          <w:szCs w:val="52"/>
        </w:rPr>
      </w:pPr>
    </w:p>
    <w:p>
      <w:pPr>
        <w:spacing w:line="560" w:lineRule="exact"/>
        <w:jc w:val="center"/>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伊犁州特克斯县民政局部门单位整体支出绩效自评报告</w:t>
      </w:r>
    </w:p>
    <w:bookmarkEnd w:id="0"/>
    <w:p>
      <w:pPr>
        <w:spacing w:line="560" w:lineRule="exact"/>
        <w:jc w:val="center"/>
        <w:rPr>
          <w:rFonts w:ascii="华文中宋" w:hAnsi="华文中宋" w:eastAsia="华文中宋" w:cs="宋体"/>
          <w:b/>
          <w:kern w:val="0"/>
          <w:sz w:val="52"/>
          <w:szCs w:val="52"/>
        </w:rPr>
      </w:pPr>
    </w:p>
    <w:p>
      <w:pPr>
        <w:spacing w:line="56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jc w:val="center"/>
        <w:rPr>
          <w:rFonts w:hAnsi="宋体" w:eastAsia="仿宋_GB2312" w:cs="宋体"/>
          <w:kern w:val="0"/>
          <w:sz w:val="30"/>
          <w:szCs w:val="30"/>
        </w:rPr>
      </w:pPr>
    </w:p>
    <w:p>
      <w:pPr>
        <w:spacing w:line="560" w:lineRule="exact"/>
        <w:rPr>
          <w:rFonts w:hAnsi="宋体" w:eastAsia="仿宋_GB2312" w:cs="宋体"/>
          <w:kern w:val="0"/>
          <w:sz w:val="30"/>
          <w:szCs w:val="30"/>
        </w:rPr>
      </w:pPr>
    </w:p>
    <w:p>
      <w:pPr>
        <w:spacing w:line="560" w:lineRule="exact"/>
        <w:jc w:val="left"/>
        <w:rPr>
          <w:rFonts w:hAnsi="宋体" w:eastAsia="仿宋_GB2312" w:cs="宋体"/>
          <w:kern w:val="0"/>
          <w:sz w:val="36"/>
          <w:szCs w:val="36"/>
        </w:rPr>
      </w:pP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部门单位名称（公章）：特克斯县民政局</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年4月26日</w:t>
      </w:r>
    </w:p>
    <w:p>
      <w:pPr>
        <w:pStyle w:val="4"/>
        <w:spacing w:line="560" w:lineRule="exact"/>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5"/>
        <w:spacing w:line="560" w:lineRule="exact"/>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6"/>
        <w:spacing w:line="560" w:lineRule="exact"/>
        <w:ind w:firstLine="562" w:firstLineChars="200"/>
        <w:rPr>
          <w:rStyle w:val="17"/>
          <w:rFonts w:ascii="仿宋" w:hAnsi="仿宋" w:eastAsia="仿宋"/>
          <w:b/>
          <w:bCs/>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一）实施国家关于民政工作的基本方针、政策、法律和法规，提出特克斯县民政事业的发展规划，推进社会工作人才队伍建设和相关志愿者队伍建设。研究制定全县民政事业中长期规划年度工作，并组织实施和监督检查指导；</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二）根据《民办非企业单位登记管理条例》和《民办非企业单位登记暂行办法》，负责特克斯单位所属民办非企业单位的登记和年度检查，规范财务管理办法，查处辖区内民办非企业单位的违法行为和未经等级而以民办非企业单位名义开展活动的非法组织；指导、监督、检查全县民非企业单位的登记和管理工作；</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三）根据《社会团体登记管理条例》，负责特克斯县社团及其分支机构的登记管理和年度检查，规范会费收费标准和财务管理办法，监督社团活动组织的违法行为和未经登记而以社团名义开展活动的非法组织，指导、监督、检查全县社团登记管理工作；</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（四）根据《城市居民最低生活保障条列》，调查、登记、调整、核实城市居民最低生活保障对象，建立和实施城市居民最低生活保障制度，对城市中的贫困居民，按照最低生活保障线给予基本生活保障；</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五）根据《国务院关于在全国农村最低生活保障制度的通知》（国发[2007]19号）。调查、登记、调整、核实农村居民最低生活保障对象，建立和实施农村居民最低生活保障制度，对农村中的贫困居民，按照最低生活保障线给予基本生活保障；</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六）根据《农村五保供养工作条列》对老年、残疾或者未满16周岁的村民，无劳动能力、无生活来源又无法定赡养、优抚、扶养义务人，或者其法定赡养、抚养、扶养义务人无赡养、抚养、扶养能力的，给予承办农村五保供养待遇；</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七）根据《中华人民共和国村民委员会组织法》、《中华人民共和国城市居民委员会组织法》，指导全县城乡基层政权和基层群众自治组织建设；指导村民委员会民主选举、民主决策、民主管理和民主监督工作，推动村务公开和基层民主政治建设；指导城市居民委员会选举和建设，制定全县社区工作及社区服务管理办法，推动全县社区建设；指导基层群众自治组织和社区组织干部的表彰；</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八）根据《中华人民共和国婚姻法》、《国务院办公厅关于加强孤儿保障工作的意见》拟增设负责全县婚姻登记和儿童收养工作，依法指导妇女儿童权益保护工作；积极倡导婚姻习俗改革；实施孤儿基本生活费月发放制度；</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（九）根据《城市生活无着的流浪乞讨人员救助管理办法》、《城市生活无着的流浪乞讨人员救助管理办法实施细则》，指导、协调流浪乞讨人员的收容遣送工作，保障救助人员的基本生活权益；</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十）根据国务院《地名管理条列》、自治区《自治区地名管理实施办法》《行政区域界线管理条列》承办全县行政区划工作，负责乡以上行政区域的设立、撤销、调整、更名和界线变更及政府驻地迁移的审核报批工作；承办界线勘界工作；负责全县行政区域界线的勘定和管理工作；处理辖区内边界争议和纠纷，承办县、乡、村行政区划名称和边境地名命名、更名的审核报批工作，规范全县地名标志的设置和管理；</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十一）组织拟定和实施全县社会福利设施和发展规划，推动社会化服务体系建设的建立和发展，会同有关部门拟定社会福利企业的认定标准和扶持保护政策，负责全县社会福利有奖募捐工作，管理本级福利资金；负责全县孤残儿童救治、养育、康复、特教和职业技能培训等服务功能；</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十二）根据《中华人民共和国婚姻法》、《国务院办公厅关于加强孤儿保障工作的意见》拟增设负责全县婚姻登记和儿童收养工作，依法指导妇女儿童权益保护工作；积极倡导婚姻习俗改革；实施孤儿基本生活费月发放制度；</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（十三）根据国务院《殡葬管理条例》、自治区《实施〈殡葬管理条列〉若干规定》，积极推动殡葬改革与殡葬法规的广泛宣传；负责有关殡葬管理、改革的其他事项；</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（十四）负责全县的民政事业财务工作，指导、监督民政事业费的使用和管理；</w:t>
      </w:r>
    </w:p>
    <w:p>
      <w:pPr>
        <w:spacing w:line="560" w:lineRule="exact"/>
        <w:rPr>
          <w:rFonts w:asciiTheme="minorEastAsia" w:hAnsiTheme="minorEastAsia" w:cstheme="minorEastAsia"/>
        </w:rPr>
      </w:pPr>
      <w:r>
        <w:rPr>
          <w:rFonts w:hint="eastAsia" w:ascii="仿宋_GB2312" w:hAnsi="宋体" w:eastAsia="仿宋_GB2312" w:cs="宋体"/>
          <w:kern w:val="0"/>
          <w:sz w:val="32"/>
          <w:szCs w:val="32"/>
        </w:rPr>
        <w:t xml:space="preserve">   （十五）承办县委、县人民政府交办的其他工作。 </w:t>
      </w:r>
    </w:p>
    <w:p>
      <w:pPr>
        <w:pStyle w:val="6"/>
        <w:spacing w:line="560" w:lineRule="exact"/>
        <w:ind w:firstLine="562" w:firstLineChars="200"/>
        <w:rPr>
          <w:rStyle w:val="17"/>
          <w:rFonts w:ascii="仿宋" w:hAnsi="仿宋" w:eastAsia="仿宋"/>
          <w:b/>
          <w:bCs/>
        </w:rPr>
      </w:pPr>
      <w:bookmarkStart w:id="4" w:name="_Toc70450292"/>
      <w:r>
        <w:rPr>
          <w:rStyle w:val="17"/>
          <w:rFonts w:hint="eastAsia" w:ascii="仿宋" w:hAnsi="仿宋" w:eastAsia="仿宋"/>
          <w:b/>
          <w:bCs/>
        </w:rPr>
        <w:t>2、机构人员构成</w:t>
      </w:r>
      <w:bookmarkEnd w:id="4"/>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民政局无下属预算单位，下设11个科室，分别是：局办公室、财务室、民政服务中心、区划地名办公室、社会组织管理办公室、民间组织管理办公室、社区建设管理办公室、社会事务管理办公室、儿童福利院、社会综合福利院、殡葬管理所。</w:t>
      </w:r>
    </w:p>
    <w:p>
      <w:pPr>
        <w:spacing w:line="360" w:lineRule="auto"/>
        <w:ind w:firstLine="544" w:firstLineChars="200"/>
        <w:rPr>
          <w:rStyle w:val="17"/>
          <w:rFonts w:hint="eastAsia"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（2）2021年特克斯县民政局，实有在职人员为</w:t>
      </w:r>
      <w:r>
        <w:rPr>
          <w:rStyle w:val="17"/>
          <w:rFonts w:hint="eastAsia" w:ascii="仿宋_GB2312" w:hAnsi="楷体" w:eastAsia="仿宋_GB2312"/>
          <w:b w:val="0"/>
          <w:color w:val="auto"/>
          <w:spacing w:val="-4"/>
          <w:sz w:val="28"/>
          <w:szCs w:val="28"/>
          <w:highlight w:val="none"/>
          <w:lang w:val="en-US" w:eastAsia="zh-CN"/>
        </w:rPr>
        <w:t>34</w:t>
      </w:r>
      <w:r>
        <w:rPr>
          <w:rStyle w:val="17"/>
          <w:rFonts w:hint="eastAsia" w:ascii="仿宋_GB2312" w:hAnsi="楷体" w:eastAsia="仿宋_GB2312"/>
          <w:b w:val="0"/>
          <w:color w:val="auto"/>
          <w:spacing w:val="-4"/>
          <w:sz w:val="28"/>
          <w:szCs w:val="28"/>
          <w:highlight w:val="none"/>
        </w:rPr>
        <w:t>人，其中：</w:t>
      </w:r>
    </w:p>
    <w:p>
      <w:pPr>
        <w:spacing w:line="360" w:lineRule="auto"/>
        <w:ind w:firstLine="544" w:firstLineChars="200"/>
        <w:jc w:val="left"/>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 xml:space="preserve">行政在职 </w:t>
      </w:r>
      <w:r>
        <w:rPr>
          <w:rStyle w:val="17"/>
          <w:rFonts w:hint="eastAsia" w:ascii="仿宋_GB2312" w:hAnsi="楷体" w:eastAsia="仿宋_GB2312"/>
          <w:b w:val="0"/>
          <w:color w:val="auto"/>
          <w:spacing w:val="-4"/>
          <w:sz w:val="28"/>
          <w:szCs w:val="28"/>
          <w:highlight w:val="none"/>
          <w:lang w:val="en-US" w:eastAsia="zh-CN"/>
        </w:rPr>
        <w:t>16</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15</w:t>
      </w:r>
      <w:r>
        <w:rPr>
          <w:rStyle w:val="17"/>
          <w:rFonts w:hint="eastAsia" w:ascii="仿宋_GB2312" w:hAnsi="楷体" w:eastAsia="仿宋_GB2312"/>
          <w:b w:val="0"/>
          <w:color w:val="auto"/>
          <w:spacing w:val="-4"/>
          <w:sz w:val="28"/>
          <w:szCs w:val="28"/>
          <w:highlight w:val="none"/>
        </w:rPr>
        <w:t>人），同比上年增加</w:t>
      </w:r>
      <w:r>
        <w:rPr>
          <w:rStyle w:val="17"/>
          <w:rFonts w:hint="eastAsia" w:ascii="仿宋_GB2312" w:hAnsi="楷体" w:eastAsia="仿宋_GB2312"/>
          <w:b w:val="0"/>
          <w:color w:val="auto"/>
          <w:spacing w:val="-4"/>
          <w:sz w:val="28"/>
          <w:szCs w:val="28"/>
          <w:highlight w:val="none"/>
          <w:lang w:val="en-US" w:eastAsia="zh-CN"/>
        </w:rPr>
        <w:t>1</w:t>
      </w:r>
      <w:r>
        <w:rPr>
          <w:rStyle w:val="17"/>
          <w:rFonts w:hint="eastAsia" w:ascii="仿宋_GB2312" w:hAnsi="楷体" w:eastAsia="仿宋_GB2312"/>
          <w:b w:val="0"/>
          <w:color w:val="auto"/>
          <w:spacing w:val="-4"/>
          <w:sz w:val="28"/>
          <w:szCs w:val="28"/>
          <w:highlight w:val="none"/>
        </w:rPr>
        <w:t>人；</w:t>
      </w:r>
    </w:p>
    <w:p>
      <w:pPr>
        <w:spacing w:line="360" w:lineRule="auto"/>
        <w:ind w:firstLine="544" w:firstLineChars="200"/>
        <w:jc w:val="left"/>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实有离休人员</w:t>
      </w:r>
      <w:r>
        <w:rPr>
          <w:rStyle w:val="17"/>
          <w:rFonts w:hint="eastAsia" w:ascii="仿宋_GB2312" w:hAnsi="楷体" w:eastAsia="仿宋_GB2312"/>
          <w:b w:val="0"/>
          <w:color w:val="auto"/>
          <w:spacing w:val="-4"/>
          <w:sz w:val="28"/>
          <w:szCs w:val="28"/>
          <w:highlight w:val="none"/>
          <w:lang w:val="en-US" w:eastAsia="zh-CN"/>
        </w:rPr>
        <w:t>0</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0</w:t>
      </w:r>
      <w:r>
        <w:rPr>
          <w:rStyle w:val="17"/>
          <w:rFonts w:hint="eastAsia" w:ascii="仿宋_GB2312" w:hAnsi="楷体" w:eastAsia="仿宋_GB2312"/>
          <w:b w:val="0"/>
          <w:color w:val="auto"/>
          <w:spacing w:val="-4"/>
          <w:sz w:val="28"/>
          <w:szCs w:val="28"/>
          <w:highlight w:val="none"/>
        </w:rPr>
        <w:t>人）,</w:t>
      </w:r>
      <w:r>
        <w:rPr>
          <w:rFonts w:hint="eastAsia" w:ascii="仿宋_GB2312" w:hAnsi="楷体" w:eastAsia="仿宋_GB2312"/>
          <w:b/>
          <w:color w:val="auto"/>
          <w:spacing w:val="-4"/>
          <w:sz w:val="28"/>
          <w:szCs w:val="28"/>
          <w:highlight w:val="none"/>
        </w:rPr>
        <w:t xml:space="preserve"> </w:t>
      </w:r>
      <w:r>
        <w:rPr>
          <w:rStyle w:val="17"/>
          <w:rFonts w:hint="eastAsia" w:ascii="仿宋_GB2312" w:hAnsi="楷体" w:eastAsia="仿宋_GB2312"/>
          <w:b w:val="0"/>
          <w:color w:val="auto"/>
          <w:spacing w:val="-4"/>
          <w:sz w:val="28"/>
          <w:szCs w:val="28"/>
          <w:highlight w:val="none"/>
        </w:rPr>
        <w:t>上年一致。</w:t>
      </w:r>
    </w:p>
    <w:p>
      <w:pPr>
        <w:pStyle w:val="2"/>
        <w:ind w:firstLine="544" w:firstLineChars="200"/>
        <w:jc w:val="left"/>
        <w:rPr>
          <w:rStyle w:val="17"/>
          <w:rFonts w:hint="eastAsia"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实有退休人员</w:t>
      </w:r>
      <w:r>
        <w:rPr>
          <w:rStyle w:val="17"/>
          <w:rFonts w:hint="eastAsia" w:ascii="仿宋_GB2312" w:hAnsi="楷体" w:eastAsia="仿宋_GB2312"/>
          <w:b w:val="0"/>
          <w:color w:val="auto"/>
          <w:spacing w:val="-4"/>
          <w:sz w:val="28"/>
          <w:szCs w:val="28"/>
          <w:highlight w:val="none"/>
          <w:lang w:val="en-US" w:eastAsia="zh-CN"/>
        </w:rPr>
        <w:t>10</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10</w:t>
      </w:r>
      <w:r>
        <w:rPr>
          <w:rStyle w:val="17"/>
          <w:rFonts w:hint="eastAsia" w:ascii="仿宋_GB2312" w:hAnsi="楷体" w:eastAsia="仿宋_GB2312"/>
          <w:b w:val="0"/>
          <w:color w:val="auto"/>
          <w:spacing w:val="-4"/>
          <w:sz w:val="28"/>
          <w:szCs w:val="28"/>
          <w:highlight w:val="none"/>
        </w:rPr>
        <w:t>人）,</w:t>
      </w:r>
      <w:r>
        <w:rPr>
          <w:rFonts w:hint="eastAsia" w:ascii="仿宋_GB2312" w:hAnsi="楷体" w:eastAsia="仿宋_GB2312"/>
          <w:b/>
          <w:color w:val="auto"/>
          <w:spacing w:val="-4"/>
          <w:sz w:val="28"/>
          <w:szCs w:val="28"/>
          <w:highlight w:val="none"/>
        </w:rPr>
        <w:t xml:space="preserve"> </w:t>
      </w:r>
      <w:r>
        <w:rPr>
          <w:rStyle w:val="17"/>
          <w:rFonts w:hint="eastAsia" w:ascii="仿宋_GB2312" w:hAnsi="楷体" w:eastAsia="仿宋_GB2312"/>
          <w:b w:val="0"/>
          <w:color w:val="auto"/>
          <w:spacing w:val="-4"/>
          <w:sz w:val="28"/>
          <w:szCs w:val="28"/>
          <w:highlight w:val="none"/>
        </w:rPr>
        <w:t>与上年一致。</w:t>
      </w:r>
    </w:p>
    <w:p>
      <w:pPr>
        <w:spacing w:line="360" w:lineRule="auto"/>
        <w:ind w:firstLine="544" w:firstLineChars="200"/>
        <w:jc w:val="left"/>
        <w:rPr>
          <w:rStyle w:val="17"/>
          <w:rFonts w:hint="eastAsia" w:ascii="仿宋_GB2312" w:hAnsi="楷体" w:eastAsia="仿宋_GB2312"/>
          <w:b w:val="0"/>
          <w:color w:val="auto"/>
          <w:spacing w:val="-4"/>
          <w:sz w:val="28"/>
          <w:szCs w:val="28"/>
          <w:highlight w:val="none"/>
          <w:lang w:eastAsia="zh-CN"/>
        </w:rPr>
      </w:pPr>
      <w:r>
        <w:rPr>
          <w:rStyle w:val="17"/>
          <w:rFonts w:hint="eastAsia" w:ascii="仿宋_GB2312" w:hAnsi="楷体" w:eastAsia="仿宋_GB2312"/>
          <w:b w:val="0"/>
          <w:color w:val="auto"/>
          <w:spacing w:val="-4"/>
          <w:sz w:val="28"/>
          <w:szCs w:val="28"/>
          <w:highlight w:val="none"/>
        </w:rPr>
        <w:t>行政工勤编</w:t>
      </w:r>
      <w:r>
        <w:rPr>
          <w:rStyle w:val="17"/>
          <w:rFonts w:hint="eastAsia" w:ascii="仿宋_GB2312" w:hAnsi="楷体" w:eastAsia="仿宋_GB2312"/>
          <w:b w:val="0"/>
          <w:color w:val="auto"/>
          <w:spacing w:val="-4"/>
          <w:sz w:val="28"/>
          <w:szCs w:val="28"/>
          <w:highlight w:val="none"/>
          <w:lang w:val="en-US" w:eastAsia="zh-CN"/>
        </w:rPr>
        <w:t>2</w:t>
      </w:r>
      <w:r>
        <w:rPr>
          <w:rStyle w:val="17"/>
          <w:rFonts w:hint="eastAsia" w:ascii="仿宋_GB2312" w:hAnsi="楷体" w:eastAsia="仿宋_GB2312"/>
          <w:b w:val="0"/>
          <w:color w:val="auto"/>
          <w:spacing w:val="-4"/>
          <w:sz w:val="28"/>
          <w:szCs w:val="28"/>
          <w:highlight w:val="none"/>
        </w:rPr>
        <w:t>人</w:t>
      </w:r>
      <w:r>
        <w:rPr>
          <w:rStyle w:val="17"/>
          <w:rFonts w:hint="eastAsia" w:ascii="仿宋_GB2312" w:hAnsi="楷体" w:eastAsia="仿宋_GB2312"/>
          <w:b w:val="0"/>
          <w:color w:val="auto"/>
          <w:spacing w:val="-4"/>
          <w:sz w:val="28"/>
          <w:szCs w:val="28"/>
          <w:highlight w:val="none"/>
          <w:lang w:eastAsia="zh-CN"/>
        </w:rPr>
        <w:t>（</w:t>
      </w:r>
      <w:r>
        <w:rPr>
          <w:rStyle w:val="17"/>
          <w:rFonts w:hint="eastAsia" w:ascii="仿宋_GB2312" w:hAnsi="楷体" w:eastAsia="仿宋_GB2312"/>
          <w:b w:val="0"/>
          <w:color w:val="auto"/>
          <w:spacing w:val="-4"/>
          <w:sz w:val="28"/>
          <w:szCs w:val="28"/>
          <w:highlight w:val="none"/>
          <w:lang w:val="en-US" w:eastAsia="zh-CN"/>
        </w:rPr>
        <w:t>上年2人），</w:t>
      </w:r>
      <w:r>
        <w:rPr>
          <w:rStyle w:val="17"/>
          <w:rFonts w:hint="eastAsia" w:ascii="仿宋_GB2312" w:hAnsi="楷体" w:eastAsia="仿宋_GB2312"/>
          <w:b w:val="0"/>
          <w:color w:val="auto"/>
          <w:spacing w:val="-4"/>
          <w:sz w:val="28"/>
          <w:szCs w:val="28"/>
          <w:highlight w:val="none"/>
        </w:rPr>
        <w:t>与上年一致</w:t>
      </w:r>
      <w:r>
        <w:rPr>
          <w:rStyle w:val="17"/>
          <w:rFonts w:hint="eastAsia" w:ascii="仿宋_GB2312" w:hAnsi="楷体" w:eastAsia="仿宋_GB2312"/>
          <w:b w:val="0"/>
          <w:color w:val="auto"/>
          <w:spacing w:val="-4"/>
          <w:sz w:val="28"/>
          <w:szCs w:val="28"/>
          <w:highlight w:val="none"/>
          <w:lang w:eastAsia="zh-CN"/>
        </w:rPr>
        <w:t>。</w:t>
      </w:r>
      <w:bookmarkStart w:id="37" w:name="_GoBack"/>
      <w:bookmarkEnd w:id="37"/>
    </w:p>
    <w:p>
      <w:pPr>
        <w:spacing w:line="360" w:lineRule="auto"/>
        <w:ind w:firstLine="544" w:firstLineChars="200"/>
        <w:jc w:val="left"/>
        <w:rPr>
          <w:rStyle w:val="17"/>
          <w:rFonts w:hint="eastAsia" w:ascii="仿宋_GB2312" w:hAnsi="楷体" w:eastAsia="仿宋_GB2312"/>
          <w:b w:val="0"/>
          <w:color w:val="auto"/>
          <w:spacing w:val="-4"/>
          <w:sz w:val="28"/>
          <w:szCs w:val="28"/>
          <w:highlight w:val="none"/>
          <w:lang w:eastAsia="zh-CN"/>
        </w:rPr>
      </w:pPr>
      <w:r>
        <w:rPr>
          <w:rStyle w:val="17"/>
          <w:rFonts w:hint="eastAsia" w:ascii="仿宋_GB2312" w:hAnsi="楷体" w:eastAsia="仿宋_GB2312"/>
          <w:b w:val="0"/>
          <w:color w:val="auto"/>
          <w:spacing w:val="-4"/>
          <w:sz w:val="28"/>
          <w:szCs w:val="28"/>
          <w:highlight w:val="none"/>
        </w:rPr>
        <w:t>全额拨款事业单位人员编制1</w:t>
      </w:r>
      <w:r>
        <w:rPr>
          <w:rStyle w:val="17"/>
          <w:rFonts w:hint="eastAsia" w:ascii="仿宋_GB2312" w:hAnsi="楷体" w:eastAsia="仿宋_GB2312"/>
          <w:b w:val="0"/>
          <w:color w:val="auto"/>
          <w:spacing w:val="-4"/>
          <w:sz w:val="28"/>
          <w:szCs w:val="28"/>
          <w:highlight w:val="none"/>
          <w:lang w:val="en-US" w:eastAsia="zh-CN"/>
        </w:rPr>
        <w:t>4</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14</w:t>
      </w:r>
      <w:r>
        <w:rPr>
          <w:rStyle w:val="17"/>
          <w:rFonts w:hint="eastAsia" w:ascii="仿宋_GB2312" w:hAnsi="楷体" w:eastAsia="仿宋_GB2312"/>
          <w:b w:val="0"/>
          <w:color w:val="auto"/>
          <w:spacing w:val="-4"/>
          <w:sz w:val="28"/>
          <w:szCs w:val="28"/>
          <w:highlight w:val="none"/>
        </w:rPr>
        <w:t>人）与上年一致</w:t>
      </w:r>
      <w:r>
        <w:rPr>
          <w:rStyle w:val="17"/>
          <w:rFonts w:hint="eastAsia" w:ascii="仿宋_GB2312" w:hAnsi="楷体" w:eastAsia="仿宋_GB2312"/>
          <w:b w:val="0"/>
          <w:color w:val="auto"/>
          <w:spacing w:val="-4"/>
          <w:sz w:val="28"/>
          <w:szCs w:val="28"/>
          <w:highlight w:val="none"/>
          <w:lang w:eastAsia="zh-CN"/>
        </w:rPr>
        <w:t>。</w:t>
      </w:r>
    </w:p>
    <w:p>
      <w:pPr>
        <w:spacing w:line="360" w:lineRule="auto"/>
        <w:ind w:firstLine="544" w:firstLineChars="200"/>
        <w:jc w:val="left"/>
        <w:rPr>
          <w:rStyle w:val="17"/>
          <w:rFonts w:hint="eastAsia" w:ascii="仿宋_GB2312" w:hAnsi="楷体" w:eastAsia="仿宋_GB2312"/>
          <w:b w:val="0"/>
          <w:color w:val="auto"/>
          <w:spacing w:val="-4"/>
          <w:sz w:val="28"/>
          <w:szCs w:val="28"/>
          <w:highlight w:val="none"/>
          <w:lang w:eastAsia="zh-CN"/>
        </w:rPr>
      </w:pPr>
      <w:r>
        <w:rPr>
          <w:rStyle w:val="17"/>
          <w:rFonts w:hint="eastAsia" w:ascii="仿宋_GB2312" w:hAnsi="楷体" w:eastAsia="仿宋_GB2312"/>
          <w:b w:val="0"/>
          <w:color w:val="auto"/>
          <w:spacing w:val="-4"/>
          <w:sz w:val="28"/>
          <w:szCs w:val="28"/>
          <w:highlight w:val="none"/>
          <w:lang w:val="en-US" w:eastAsia="zh-CN"/>
        </w:rPr>
        <w:t>县编人员2人（上年2人）</w:t>
      </w:r>
      <w:r>
        <w:rPr>
          <w:rStyle w:val="17"/>
          <w:rFonts w:hint="eastAsia" w:ascii="仿宋_GB2312" w:hAnsi="楷体" w:eastAsia="仿宋_GB2312"/>
          <w:b w:val="0"/>
          <w:color w:val="auto"/>
          <w:spacing w:val="-4"/>
          <w:sz w:val="28"/>
          <w:szCs w:val="28"/>
          <w:highlight w:val="none"/>
        </w:rPr>
        <w:t>与上年一致</w:t>
      </w:r>
      <w:r>
        <w:rPr>
          <w:rStyle w:val="17"/>
          <w:rFonts w:hint="eastAsia" w:ascii="仿宋_GB2312" w:hAnsi="楷体" w:eastAsia="仿宋_GB2312"/>
          <w:b w:val="0"/>
          <w:color w:val="auto"/>
          <w:spacing w:val="-4"/>
          <w:sz w:val="28"/>
          <w:szCs w:val="28"/>
          <w:highlight w:val="none"/>
          <w:lang w:eastAsia="zh-CN"/>
        </w:rPr>
        <w:t>。</w:t>
      </w:r>
    </w:p>
    <w:p>
      <w:pPr>
        <w:pStyle w:val="2"/>
        <w:jc w:val="left"/>
        <w:rPr>
          <w:rFonts w:hint="default"/>
          <w:lang w:val="en-US" w:eastAsia="zh-CN"/>
        </w:rPr>
      </w:pPr>
    </w:p>
    <w:p>
      <w:pPr>
        <w:pStyle w:val="6"/>
        <w:spacing w:line="560" w:lineRule="exact"/>
        <w:ind w:firstLine="562" w:firstLineChars="200"/>
        <w:rPr>
          <w:rStyle w:val="17"/>
          <w:rFonts w:ascii="仿宋" w:hAnsi="仿宋" w:eastAsia="仿宋"/>
          <w:b/>
          <w:bCs/>
        </w:rPr>
      </w:pPr>
      <w:bookmarkStart w:id="5" w:name="_Toc70450293"/>
      <w:r>
        <w:rPr>
          <w:rStyle w:val="17"/>
          <w:rFonts w:ascii="仿宋" w:hAnsi="仿宋" w:eastAsia="仿宋"/>
          <w:b/>
          <w:bCs/>
        </w:rPr>
        <w:t>3</w:t>
      </w:r>
      <w:r>
        <w:rPr>
          <w:rStyle w:val="17"/>
          <w:rFonts w:hint="eastAsia" w:ascii="仿宋" w:hAnsi="仿宋" w:eastAsia="仿宋"/>
          <w:b/>
          <w:bCs/>
        </w:rPr>
        <w:t>、重点工作计划</w:t>
      </w:r>
      <w:bookmarkEnd w:id="5"/>
    </w:p>
    <w:p>
      <w:pPr>
        <w:spacing w:line="560" w:lineRule="exact"/>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（1）人员保障项目，计划投入308.65万元，要完成基本工资、津贴补贴、资金、机关事业单位基本养老保险缴费、其他社会保险缴费。以及对个人和家庭的补助支出包括退休费、生活补助、住房公积金的目标。</w:t>
      </w:r>
    </w:p>
    <w:p>
      <w:pPr>
        <w:pStyle w:val="4"/>
        <w:numPr>
          <w:ilvl w:val="0"/>
          <w:numId w:val="1"/>
        </w:numPr>
        <w:spacing w:line="560" w:lineRule="exact"/>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运转保障工作，计划投入10.1万元，要完成商品和服务支出，包括办公费、水费、电费、邮电费、取暖费、差旅费、公务用车运行维护费的目标。</w:t>
      </w:r>
    </w:p>
    <w:p>
      <w:pPr>
        <w:numPr>
          <w:ilvl w:val="0"/>
          <w:numId w:val="1"/>
        </w:numPr>
        <w:spacing w:line="560" w:lineRule="exact"/>
      </w:pPr>
      <w:r>
        <w:rPr>
          <w:rStyle w:val="17"/>
          <w:rFonts w:hint="eastAsia" w:ascii="仿宋_GB2312" w:hAnsi="楷体" w:eastAsia="仿宋_GB2312" w:cs="Times New Roman"/>
          <w:b w:val="0"/>
          <w:bCs w:val="0"/>
          <w:spacing w:val="-4"/>
          <w:kern w:val="2"/>
          <w:sz w:val="28"/>
          <w:szCs w:val="28"/>
          <w:lang w:val="en-US" w:eastAsia="zh-CN" w:bidi="ar-SA"/>
        </w:rPr>
        <w:t>残疾人</w:t>
      </w:r>
      <w:r>
        <w:rPr>
          <w:rStyle w:val="17"/>
          <w:rFonts w:hint="eastAsia" w:ascii="仿宋_GB2312" w:hAnsi="楷体" w:eastAsia="仿宋_GB2312"/>
          <w:b w:val="0"/>
          <w:bCs w:val="0"/>
          <w:spacing w:val="-4"/>
          <w:sz w:val="28"/>
          <w:szCs w:val="28"/>
        </w:rPr>
        <w:t>两项补贴工作，计划投入400万元，用于发放重度残疾人护理补贴和困难残疾人生活补贴，保障困难残疾人士的基本生活需求的目标。</w:t>
      </w:r>
    </w:p>
    <w:p>
      <w:pPr>
        <w:pStyle w:val="4"/>
        <w:spacing w:line="560" w:lineRule="exact"/>
      </w:pPr>
      <w:r>
        <w:rPr>
          <w:rStyle w:val="17"/>
          <w:rFonts w:hint="eastAsia" w:ascii="仿宋_GB2312" w:hAnsi="楷体" w:eastAsia="仿宋_GB2312"/>
          <w:b w:val="0"/>
          <w:bCs w:val="0"/>
          <w:spacing w:val="-4"/>
          <w:sz w:val="28"/>
          <w:szCs w:val="28"/>
        </w:rPr>
        <w:t>（4）高龄补贴工作，计划投入230万元，用于80周岁以上老年人基本生活津贴和免费体检县级配套资金的目标。</w:t>
      </w:r>
    </w:p>
    <w:p>
      <w:pPr>
        <w:pStyle w:val="5"/>
        <w:spacing w:line="560" w:lineRule="exact"/>
        <w:rPr>
          <w:rStyle w:val="17"/>
          <w:rFonts w:ascii="仿宋" w:hAnsi="仿宋" w:eastAsia="仿宋"/>
          <w:b/>
          <w:bCs/>
          <w:sz w:val="28"/>
          <w:szCs w:val="28"/>
        </w:rPr>
      </w:pPr>
      <w:bookmarkStart w:id="6" w:name="_Toc70450294"/>
      <w:r>
        <w:rPr>
          <w:rStyle w:val="17"/>
          <w:rFonts w:hint="eastAsia" w:ascii="仿宋" w:hAnsi="仿宋" w:eastAsia="仿宋"/>
          <w:b/>
          <w:bCs/>
          <w:sz w:val="28"/>
          <w:szCs w:val="28"/>
        </w:rPr>
        <w:t>（二）部门单位整体支出规模、</w:t>
      </w:r>
      <w:bookmarkStart w:id="7" w:name="_Hlk70339807"/>
      <w:r>
        <w:rPr>
          <w:rStyle w:val="17"/>
          <w:rFonts w:hint="eastAsia" w:ascii="仿宋" w:hAnsi="仿宋" w:eastAsia="仿宋"/>
          <w:b/>
          <w:bCs/>
          <w:sz w:val="28"/>
          <w:szCs w:val="28"/>
        </w:rPr>
        <w:t>使用方法和主要内容、涉及对象及范围等</w:t>
      </w:r>
      <w:bookmarkEnd w:id="6"/>
    </w:p>
    <w:bookmarkEnd w:id="7"/>
    <w:p>
      <w:pPr>
        <w:pStyle w:val="6"/>
        <w:spacing w:line="560" w:lineRule="exact"/>
        <w:ind w:firstLine="562" w:firstLineChars="200"/>
        <w:rPr>
          <w:rStyle w:val="17"/>
          <w:rFonts w:ascii="仿宋" w:hAnsi="仿宋" w:eastAsia="仿宋"/>
          <w:b/>
          <w:bCs/>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spacing w:val="-4"/>
          <w:sz w:val="28"/>
          <w:szCs w:val="28"/>
        </w:rPr>
        <w:t>2021年批复我单位预算为</w:t>
      </w:r>
      <w:r>
        <w:rPr>
          <w:rStyle w:val="17"/>
          <w:rFonts w:hint="eastAsia" w:ascii="仿宋_GB2312" w:hAnsi="楷体" w:eastAsia="仿宋_GB2312"/>
          <w:b w:val="0"/>
          <w:spacing w:val="-4"/>
          <w:sz w:val="28"/>
          <w:szCs w:val="28"/>
          <w:lang w:val="en-US" w:eastAsia="zh-CN"/>
        </w:rPr>
        <w:t>7319.10</w:t>
      </w:r>
      <w:r>
        <w:rPr>
          <w:rStyle w:val="17"/>
          <w:rFonts w:hint="eastAsia" w:ascii="仿宋_GB2312" w:hAnsi="楷体" w:eastAsia="仿宋_GB2312"/>
          <w:b w:val="0"/>
          <w:spacing w:val="-4"/>
          <w:sz w:val="28"/>
          <w:szCs w:val="28"/>
        </w:rPr>
        <w:t>万元，其中：财政拨款为</w:t>
      </w:r>
      <w:r>
        <w:rPr>
          <w:rStyle w:val="17"/>
          <w:rFonts w:hint="eastAsia" w:ascii="仿宋_GB2312" w:hAnsi="楷体" w:eastAsia="仿宋_GB2312"/>
          <w:b w:val="0"/>
          <w:spacing w:val="-4"/>
          <w:sz w:val="28"/>
          <w:szCs w:val="28"/>
          <w:lang w:val="en-US" w:eastAsia="zh-CN"/>
        </w:rPr>
        <w:t>7319.10</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highlight w:val="none"/>
        </w:rPr>
        <w:t>。</w:t>
      </w:r>
      <w:r>
        <w:rPr>
          <w:rStyle w:val="17"/>
          <w:rFonts w:hint="eastAsia" w:ascii="仿宋_GB2312" w:hAnsi="楷体" w:eastAsia="仿宋_GB2312"/>
          <w:b w:val="0"/>
          <w:color w:val="auto"/>
          <w:spacing w:val="-4"/>
          <w:sz w:val="28"/>
          <w:szCs w:val="28"/>
          <w:highlight w:val="none"/>
        </w:rPr>
        <w:t>年中追加资金</w:t>
      </w:r>
      <w:r>
        <w:rPr>
          <w:rStyle w:val="17"/>
          <w:rFonts w:hint="eastAsia" w:ascii="仿宋_GB2312" w:hAnsi="楷体" w:eastAsia="仿宋_GB2312"/>
          <w:b w:val="0"/>
          <w:color w:val="auto"/>
          <w:spacing w:val="-4"/>
          <w:sz w:val="28"/>
          <w:szCs w:val="28"/>
          <w:highlight w:val="none"/>
          <w:lang w:val="en-US" w:eastAsia="zh-CN"/>
        </w:rPr>
        <w:t>6070.35</w:t>
      </w:r>
      <w:r>
        <w:rPr>
          <w:rStyle w:val="17"/>
          <w:rFonts w:hint="eastAsia" w:ascii="仿宋_GB2312" w:hAnsi="楷体" w:eastAsia="仿宋_GB2312"/>
          <w:b w:val="0"/>
          <w:color w:val="auto"/>
          <w:spacing w:val="-4"/>
          <w:sz w:val="28"/>
          <w:szCs w:val="28"/>
          <w:highlight w:val="none"/>
        </w:rPr>
        <w:t>万元，调整率</w:t>
      </w:r>
      <w:r>
        <w:rPr>
          <w:rStyle w:val="17"/>
          <w:rFonts w:hint="eastAsia" w:ascii="仿宋_GB2312" w:hAnsi="楷体" w:eastAsia="仿宋_GB2312"/>
          <w:b w:val="0"/>
          <w:color w:val="auto"/>
          <w:spacing w:val="-4"/>
          <w:sz w:val="28"/>
          <w:szCs w:val="28"/>
          <w:highlight w:val="none"/>
          <w:lang w:val="en-US" w:eastAsia="zh-CN"/>
        </w:rPr>
        <w:t>486.11</w:t>
      </w:r>
      <w:r>
        <w:rPr>
          <w:rStyle w:val="17"/>
          <w:rFonts w:hint="eastAsia" w:ascii="仿宋_GB2312" w:hAnsi="楷体" w:eastAsia="仿宋_GB2312"/>
          <w:b w:val="0"/>
          <w:color w:val="auto"/>
          <w:spacing w:val="-4"/>
          <w:sz w:val="28"/>
          <w:szCs w:val="28"/>
          <w:highlight w:val="none"/>
        </w:rPr>
        <w:t>%。对比上年4466.8万元</w:t>
      </w:r>
      <w:r>
        <w:rPr>
          <w:rStyle w:val="17"/>
          <w:rFonts w:hint="eastAsia" w:ascii="仿宋_GB2312" w:hAnsi="楷体" w:eastAsia="仿宋_GB2312"/>
          <w:b w:val="0"/>
          <w:color w:val="auto"/>
          <w:spacing w:val="-4"/>
          <w:sz w:val="28"/>
          <w:szCs w:val="28"/>
          <w:highlight w:val="none"/>
          <w:lang w:val="en-US" w:eastAsia="zh-CN"/>
        </w:rPr>
        <w:t>增加2852.3</w:t>
      </w:r>
      <w:r>
        <w:rPr>
          <w:rStyle w:val="17"/>
          <w:rFonts w:hint="eastAsia" w:ascii="仿宋_GB2312" w:hAnsi="楷体" w:eastAsia="仿宋_GB2312"/>
          <w:b w:val="0"/>
          <w:color w:val="auto"/>
          <w:spacing w:val="-4"/>
          <w:sz w:val="28"/>
          <w:szCs w:val="28"/>
          <w:highlight w:val="none"/>
        </w:rPr>
        <w:t>万元，</w:t>
      </w:r>
      <w:r>
        <w:rPr>
          <w:rStyle w:val="17"/>
          <w:rFonts w:hint="eastAsia" w:ascii="仿宋_GB2312" w:hAnsi="楷体" w:eastAsia="仿宋_GB2312"/>
          <w:b w:val="0"/>
          <w:color w:val="auto"/>
          <w:spacing w:val="-4"/>
          <w:sz w:val="28"/>
          <w:szCs w:val="28"/>
          <w:highlight w:val="none"/>
          <w:lang w:val="en-US" w:eastAsia="zh-CN"/>
        </w:rPr>
        <w:t>上升63.86</w:t>
      </w:r>
      <w:r>
        <w:rPr>
          <w:rStyle w:val="17"/>
          <w:rFonts w:hint="eastAsia" w:ascii="仿宋_GB2312" w:hAnsi="楷体" w:eastAsia="仿宋_GB2312"/>
          <w:b w:val="0"/>
          <w:color w:val="auto"/>
          <w:spacing w:val="-4"/>
          <w:sz w:val="28"/>
          <w:szCs w:val="28"/>
          <w:highlight w:val="none"/>
        </w:rPr>
        <w:t>%。</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w:t>
      </w:r>
      <w:r>
        <w:rPr>
          <w:rStyle w:val="17"/>
          <w:rFonts w:hint="eastAsia" w:ascii="仿宋_GB2312" w:hAnsi="楷体" w:eastAsia="仿宋_GB2312"/>
          <w:b w:val="0"/>
          <w:spacing w:val="-4"/>
          <w:sz w:val="28"/>
          <w:szCs w:val="28"/>
          <w:lang w:val="en-US" w:eastAsia="zh-CN"/>
        </w:rPr>
        <w:t>7319.10</w:t>
      </w:r>
      <w:r>
        <w:rPr>
          <w:rStyle w:val="17"/>
          <w:rFonts w:hint="eastAsia" w:ascii="仿宋_GB2312" w:hAnsi="楷体" w:eastAsia="仿宋_GB2312"/>
          <w:b w:val="0"/>
          <w:spacing w:val="-4"/>
          <w:sz w:val="28"/>
          <w:szCs w:val="28"/>
        </w:rPr>
        <w:t>万元，执行率100%，其中：</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lang w:eastAsia="zh-CN"/>
        </w:rPr>
        <w:t>（</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lang w:eastAsia="zh-CN"/>
        </w:rPr>
        <w:t>）</w:t>
      </w:r>
      <w:r>
        <w:rPr>
          <w:rStyle w:val="17"/>
          <w:rFonts w:hint="eastAsia" w:ascii="仿宋_GB2312" w:hAnsi="楷体" w:eastAsia="仿宋_GB2312" w:cs="Times New Roman"/>
          <w:b w:val="0"/>
          <w:spacing w:val="-4"/>
          <w:sz w:val="28"/>
          <w:szCs w:val="28"/>
        </w:rPr>
        <w:t>基本支出 450.09万元，占总支出的</w:t>
      </w:r>
      <w:r>
        <w:rPr>
          <w:rStyle w:val="17"/>
          <w:rFonts w:hint="eastAsia" w:ascii="仿宋_GB2312" w:hAnsi="楷体" w:eastAsia="仿宋_GB2312" w:cs="Times New Roman"/>
          <w:b w:val="0"/>
          <w:spacing w:val="-4"/>
          <w:sz w:val="28"/>
          <w:szCs w:val="28"/>
          <w:lang w:val="en-US" w:eastAsia="zh-CN"/>
        </w:rPr>
        <w:t>6.15</w:t>
      </w:r>
      <w:r>
        <w:rPr>
          <w:rStyle w:val="17"/>
          <w:rFonts w:hint="eastAsia" w:ascii="仿宋_GB2312" w:hAnsi="楷体" w:eastAsia="仿宋_GB2312" w:cs="Times New Roman"/>
          <w:b w:val="0"/>
          <w:spacing w:val="-4"/>
          <w:sz w:val="28"/>
          <w:szCs w:val="28"/>
        </w:rPr>
        <w:t>％，主要用于本单位机构正常运转、完成日常工作任务而发生的各项支出。其中：工资福利支出423.35万元，主要用于在职和离退休人员基本工资、津贴补贴等人员经费。商品和服务支出9.4万元，主要用于办公费、印刷费、水电费、办公设备购置等。对个人和家庭的补助17.34万元，主要用于缴纳住房公积金及发放退休人员计划生育补贴、遗属补助等。</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（2）项目支出</w:t>
      </w:r>
      <w:r>
        <w:rPr>
          <w:rStyle w:val="17"/>
          <w:rFonts w:hint="eastAsia" w:ascii="仿宋_GB2312" w:hAnsi="楷体" w:eastAsia="仿宋_GB2312" w:cs="Times New Roman"/>
          <w:b w:val="0"/>
          <w:spacing w:val="-4"/>
          <w:sz w:val="28"/>
          <w:szCs w:val="28"/>
          <w:lang w:val="en-US" w:eastAsia="zh-CN"/>
        </w:rPr>
        <w:t>6869.01</w:t>
      </w:r>
      <w:r>
        <w:rPr>
          <w:rStyle w:val="17"/>
          <w:rFonts w:hint="eastAsia" w:ascii="仿宋_GB2312" w:hAnsi="楷体" w:eastAsia="仿宋_GB2312" w:cs="Times New Roman"/>
          <w:b w:val="0"/>
          <w:spacing w:val="-4"/>
          <w:sz w:val="28"/>
          <w:szCs w:val="28"/>
        </w:rPr>
        <w:t>万元，占总支出的</w:t>
      </w:r>
      <w:r>
        <w:rPr>
          <w:rStyle w:val="17"/>
          <w:rFonts w:hint="eastAsia" w:ascii="仿宋_GB2312" w:hAnsi="楷体" w:eastAsia="仿宋_GB2312" w:cs="Times New Roman"/>
          <w:b w:val="0"/>
          <w:spacing w:val="-4"/>
          <w:sz w:val="28"/>
          <w:szCs w:val="28"/>
          <w:lang w:val="en-US" w:eastAsia="zh-CN"/>
        </w:rPr>
        <w:t>93.85</w:t>
      </w:r>
      <w:r>
        <w:rPr>
          <w:rStyle w:val="17"/>
          <w:rFonts w:hint="eastAsia" w:ascii="仿宋_GB2312" w:hAnsi="楷体" w:eastAsia="仿宋_GB2312" w:cs="Times New Roman"/>
          <w:b w:val="0"/>
          <w:spacing w:val="-4"/>
          <w:sz w:val="28"/>
          <w:szCs w:val="28"/>
        </w:rPr>
        <w:t>％。其中：老年福利项目安排229.5万元，主要用于完成关于发放老龄津贴，福利机构人员工资支出项目安排192.13万元，主要用于保障福利机构人员经费，残疾人事业项目安排472.31万元，用于发放残疾人两项补贴，最低生活保障项目安排</w:t>
      </w:r>
      <w:r>
        <w:rPr>
          <w:rStyle w:val="17"/>
          <w:rFonts w:hint="eastAsia" w:ascii="仿宋_GB2312" w:hAnsi="楷体" w:eastAsia="仿宋_GB2312" w:cs="Times New Roman"/>
          <w:b w:val="0"/>
          <w:spacing w:val="-4"/>
          <w:sz w:val="28"/>
          <w:szCs w:val="28"/>
          <w:lang w:val="en-US" w:eastAsia="zh-CN"/>
        </w:rPr>
        <w:t>0</w:t>
      </w:r>
      <w:r>
        <w:rPr>
          <w:rStyle w:val="17"/>
          <w:rFonts w:hint="eastAsia" w:ascii="仿宋_GB2312" w:hAnsi="楷体" w:eastAsia="仿宋_GB2312" w:cs="Times New Roman"/>
          <w:b w:val="0"/>
          <w:spacing w:val="-4"/>
          <w:sz w:val="28"/>
          <w:szCs w:val="28"/>
        </w:rPr>
        <w:t>.12万元，用于发放城乡低保等，临时救助项目安排10万元，用于发放临时救助，其他社会保障和就业支出项目5438.1</w:t>
      </w:r>
      <w:r>
        <w:rPr>
          <w:rStyle w:val="17"/>
          <w:rFonts w:hint="eastAsia" w:ascii="仿宋_GB2312" w:hAnsi="楷体" w:eastAsia="仿宋_GB2312" w:cs="Times New Roman"/>
          <w:b w:val="0"/>
          <w:spacing w:val="-4"/>
          <w:sz w:val="28"/>
          <w:szCs w:val="28"/>
          <w:lang w:val="en-US" w:eastAsia="zh-CN"/>
        </w:rPr>
        <w:t>5</w:t>
      </w:r>
      <w:r>
        <w:rPr>
          <w:rStyle w:val="17"/>
          <w:rFonts w:hint="eastAsia" w:ascii="仿宋_GB2312" w:hAnsi="楷体" w:eastAsia="仿宋_GB2312" w:cs="Times New Roman"/>
          <w:b w:val="0"/>
          <w:spacing w:val="-4"/>
          <w:sz w:val="28"/>
          <w:szCs w:val="28"/>
        </w:rPr>
        <w:t>万元，用于发放城乡低保、流浪乞讨、孤儿、特困救助资金，农村幸福大院建设项目安排支出300万元，用于建设三个幸福大院，使困难群众就进入住，州级彩票公益金发放高龄补助、外地上学孤儿补助和农村幸福大院支出226.8万元。</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（3）本年度重点项目支出5438.1</w:t>
      </w:r>
      <w:r>
        <w:rPr>
          <w:rStyle w:val="17"/>
          <w:rFonts w:hint="eastAsia" w:ascii="仿宋_GB2312" w:hAnsi="楷体" w:eastAsia="仿宋_GB2312" w:cs="Times New Roman"/>
          <w:b w:val="0"/>
          <w:spacing w:val="-4"/>
          <w:sz w:val="28"/>
          <w:szCs w:val="28"/>
          <w:lang w:val="en-US" w:eastAsia="zh-CN"/>
        </w:rPr>
        <w:t>5</w:t>
      </w:r>
      <w:r>
        <w:rPr>
          <w:rStyle w:val="17"/>
          <w:rFonts w:hint="eastAsia" w:ascii="仿宋_GB2312" w:hAnsi="楷体" w:eastAsia="仿宋_GB2312" w:cs="Times New Roman"/>
          <w:b w:val="0"/>
          <w:spacing w:val="-4"/>
          <w:sz w:val="28"/>
          <w:szCs w:val="28"/>
        </w:rPr>
        <w:t>万元，重点支出保障率</w:t>
      </w:r>
      <w:r>
        <w:rPr>
          <w:rStyle w:val="17"/>
          <w:rFonts w:hint="eastAsia" w:ascii="仿宋_GB2312" w:hAnsi="楷体" w:eastAsia="仿宋_GB2312" w:cs="Times New Roman"/>
          <w:b w:val="0"/>
          <w:spacing w:val="-4"/>
          <w:sz w:val="28"/>
          <w:szCs w:val="28"/>
          <w:lang w:val="en-US" w:eastAsia="zh-CN"/>
        </w:rPr>
        <w:t>79.17</w:t>
      </w:r>
      <w:r>
        <w:rPr>
          <w:rStyle w:val="17"/>
          <w:rFonts w:hint="eastAsia" w:ascii="仿宋_GB2312" w:hAnsi="楷体" w:eastAsia="仿宋_GB2312" w:cs="Times New Roman"/>
          <w:b w:val="0"/>
          <w:spacing w:val="-4"/>
          <w:sz w:val="28"/>
          <w:szCs w:val="28"/>
        </w:rPr>
        <w:t>%。其中重点保障项目是</w:t>
      </w:r>
      <w:r>
        <w:rPr>
          <w:rStyle w:val="17"/>
          <w:rFonts w:hint="eastAsia" w:ascii="仿宋_GB2312" w:hAnsi="楷体" w:eastAsia="仿宋_GB2312" w:cs="Times New Roman"/>
          <w:b w:val="0"/>
          <w:spacing w:val="-4"/>
          <w:sz w:val="28"/>
          <w:szCs w:val="28"/>
          <w:lang w:eastAsia="zh-CN"/>
        </w:rPr>
        <w:t>：</w:t>
      </w:r>
      <w:r>
        <w:rPr>
          <w:rStyle w:val="17"/>
          <w:rFonts w:hint="eastAsia" w:ascii="仿宋_GB2312" w:hAnsi="楷体" w:eastAsia="仿宋_GB2312" w:cs="Times New Roman"/>
          <w:b w:val="0"/>
          <w:spacing w:val="-4"/>
          <w:sz w:val="28"/>
          <w:szCs w:val="28"/>
        </w:rPr>
        <w:t>其他社会保障和就业支出项目</w:t>
      </w:r>
    </w:p>
    <w:p>
      <w:pPr>
        <w:spacing w:line="360" w:lineRule="auto"/>
        <w:ind w:firstLine="544" w:firstLineChars="200"/>
        <w:rPr>
          <w:rStyle w:val="17"/>
          <w:rFonts w:hint="eastAsia" w:ascii="仿宋_GB2312" w:hAnsi="楷体" w:eastAsia="仿宋_GB2312" w:cs="Times New Roman"/>
          <w:b w:val="0"/>
          <w:spacing w:val="-4"/>
          <w:sz w:val="28"/>
          <w:szCs w:val="28"/>
          <w:lang w:val="en-US" w:eastAsia="zh-CN"/>
        </w:rPr>
      </w:pPr>
      <w:r>
        <w:rPr>
          <w:rStyle w:val="17"/>
          <w:rFonts w:hint="eastAsia" w:ascii="仿宋_GB2312" w:hAnsi="楷体" w:eastAsia="仿宋_GB2312" w:cs="Times New Roman"/>
          <w:b w:val="0"/>
          <w:spacing w:val="-4"/>
          <w:sz w:val="28"/>
          <w:szCs w:val="28"/>
        </w:rPr>
        <w:t>（4）本年度我单位</w:t>
      </w:r>
      <w:r>
        <w:rPr>
          <w:rStyle w:val="17"/>
          <w:rFonts w:hint="eastAsia" w:ascii="仿宋_GB2312" w:hAnsi="楷体" w:eastAsia="仿宋_GB2312" w:cs="Times New Roman"/>
          <w:b w:val="0"/>
          <w:spacing w:val="-4"/>
          <w:sz w:val="28"/>
          <w:szCs w:val="28"/>
          <w:lang w:val="en-US" w:eastAsia="zh-CN"/>
        </w:rPr>
        <w:t>全年</w:t>
      </w:r>
      <w:r>
        <w:rPr>
          <w:rStyle w:val="17"/>
          <w:rFonts w:hint="eastAsia" w:ascii="仿宋_GB2312" w:hAnsi="楷体" w:eastAsia="仿宋_GB2312" w:cs="Times New Roman"/>
          <w:b w:val="0"/>
          <w:spacing w:val="-4"/>
          <w:sz w:val="28"/>
          <w:szCs w:val="28"/>
        </w:rPr>
        <w:t>政府采购预算133.9万元,实际用于政府采购金额133.9万元，采购执行率</w:t>
      </w:r>
      <w:r>
        <w:rPr>
          <w:rStyle w:val="17"/>
          <w:rFonts w:hint="eastAsia" w:ascii="仿宋_GB2312" w:hAnsi="楷体" w:eastAsia="仿宋_GB2312" w:cs="Times New Roman"/>
          <w:b w:val="0"/>
          <w:spacing w:val="-4"/>
          <w:sz w:val="28"/>
          <w:szCs w:val="28"/>
          <w:lang w:val="en-US" w:eastAsia="zh-CN"/>
        </w:rPr>
        <w:t>100</w:t>
      </w:r>
      <w:r>
        <w:rPr>
          <w:rStyle w:val="17"/>
          <w:rFonts w:hint="eastAsia" w:ascii="仿宋_GB2312" w:hAnsi="楷体" w:eastAsia="仿宋_GB2312" w:cs="Times New Roman"/>
          <w:b w:val="0"/>
          <w:spacing w:val="-4"/>
          <w:sz w:val="28"/>
          <w:szCs w:val="28"/>
        </w:rPr>
        <w:t>%</w:t>
      </w:r>
      <w:r>
        <w:rPr>
          <w:rStyle w:val="17"/>
          <w:rFonts w:hint="eastAsia" w:ascii="仿宋_GB2312" w:hAnsi="楷体" w:eastAsia="仿宋_GB2312" w:cs="Times New Roman"/>
          <w:b w:val="0"/>
          <w:spacing w:val="-4"/>
          <w:sz w:val="28"/>
          <w:szCs w:val="28"/>
          <w:lang w:eastAsia="zh-CN"/>
        </w:rPr>
        <w:t>。</w:t>
      </w:r>
    </w:p>
    <w:p>
      <w:pPr>
        <w:pStyle w:val="6"/>
        <w:spacing w:line="560" w:lineRule="exact"/>
        <w:ind w:firstLine="562" w:firstLineChars="200"/>
        <w:rPr>
          <w:rStyle w:val="17"/>
          <w:rFonts w:ascii="仿宋" w:hAnsi="仿宋" w:eastAsia="仿宋"/>
          <w:b/>
          <w:bCs/>
        </w:rPr>
      </w:pPr>
      <w:bookmarkStart w:id="9"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560" w:lineRule="exact"/>
        <w:ind w:firstLine="560" w:firstLineChars="200"/>
        <w:rPr>
          <w:rStyle w:val="17"/>
          <w:rFonts w:ascii="仿宋_GB2312" w:eastAsia="仿宋_GB2312"/>
          <w:b w:val="0"/>
          <w:bCs w:val="0"/>
          <w:sz w:val="28"/>
          <w:szCs w:val="36"/>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p>
    <w:p>
      <w:pPr>
        <w:spacing w:line="560" w:lineRule="exact"/>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本次单位整体支出绩效自评采用成本效益分析法方法，原因是：将一定时期内项目总成本与该项目总效益进行对比分析，本次项目支出绩效自评采用了成本效益分析法。原因为一是更直观的比对资金使用后的受益人员的满意率。通过付出成本与回报反映该项目成果，及该项目长处与短板。通过成本效益分析法，分析出各项指标的成本大小做到透过成本对资金出处精确把握，合理控制成本，做到优化成本结构，资金用途准确掌控，发挥好上级拨付使用资金的的最大效益，将效益社会化、最大化、有效化，将该项目能够以大数据分析后进行客观、公正的反映。</w:t>
      </w:r>
    </w:p>
    <w:p>
      <w:pPr>
        <w:spacing w:line="560" w:lineRule="exact"/>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560" w:lineRule="exact"/>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560" w:lineRule="exact"/>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560" w:lineRule="exact"/>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本次评价对象是特克斯县民政局所有财政资金支出活动。</w:t>
      </w:r>
    </w:p>
    <w:p>
      <w:pPr>
        <w:spacing w:line="560" w:lineRule="exact"/>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560" w:lineRule="exact"/>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1 \* GB3</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基本支出 450.09万元，其中：工资福利支出、商品和服务支出、对个人和家庭的补助支出。</w:t>
      </w:r>
    </w:p>
    <w:p>
      <w:pPr>
        <w:spacing w:line="560" w:lineRule="exact"/>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2 \* GB3</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项目支出</w:t>
      </w:r>
      <w:r>
        <w:rPr>
          <w:rFonts w:hint="eastAsia" w:ascii="仿宋_GB2312" w:eastAsia="仿宋_GB2312"/>
          <w:sz w:val="28"/>
          <w:szCs w:val="36"/>
          <w:lang w:val="en-US" w:eastAsia="zh-CN"/>
        </w:rPr>
        <w:t>6869.01</w:t>
      </w:r>
      <w:r>
        <w:rPr>
          <w:rFonts w:hint="eastAsia" w:ascii="仿宋_GB2312" w:eastAsia="仿宋_GB2312"/>
          <w:sz w:val="28"/>
          <w:szCs w:val="36"/>
        </w:rPr>
        <w:t>万元：困难群众补贴资金项目、残疾人两项补贴项目、高龄津贴项目、孤儿生活补助项目、特困人员生活补助项目。</w:t>
      </w:r>
    </w:p>
    <w:p>
      <w:pPr>
        <w:spacing w:line="560" w:lineRule="exact"/>
        <w:ind w:firstLine="560" w:firstLineChars="200"/>
        <w:rPr>
          <w:rFonts w:hint="eastAsia" w:ascii="仿宋_GB2312" w:eastAsia="仿宋_GB2312"/>
          <w:sz w:val="28"/>
          <w:szCs w:val="36"/>
        </w:rPr>
      </w:pPr>
    </w:p>
    <w:p>
      <w:pPr>
        <w:pStyle w:val="4"/>
        <w:spacing w:line="560" w:lineRule="exact"/>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5"/>
        <w:spacing w:line="560" w:lineRule="exact"/>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6"/>
        <w:spacing w:line="560" w:lineRule="exact"/>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spacing w:line="560" w:lineRule="exact"/>
        <w:ind w:firstLine="506" w:firstLineChars="181"/>
        <w:rPr>
          <w:rStyle w:val="17"/>
          <w:rFonts w:eastAsia="仿宋_GB2312" w:asciiTheme="minorEastAsia" w:hAnsiTheme="minorEastAsia"/>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要求，部门预算及绩效目标在特克斯县人民政府网站上进行公开，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6"/>
        <w:spacing w:line="560" w:lineRule="exact"/>
        <w:ind w:firstLine="562" w:firstLineChars="200"/>
        <w:rPr>
          <w:rStyle w:val="17"/>
          <w:rFonts w:ascii="仿宋" w:hAnsi="仿宋" w:eastAsia="仿宋"/>
          <w:b/>
          <w:bCs/>
        </w:rPr>
      </w:pPr>
      <w:bookmarkStart w:id="13"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3"/>
    </w:p>
    <w:p>
      <w:pPr>
        <w:spacing w:line="560" w:lineRule="exact"/>
        <w:ind w:firstLine="560" w:firstLineChars="200"/>
        <w:rPr>
          <w:rStyle w:val="17"/>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根据《社会救助暂行办法》（国务院令第649号）和财政部、民政部制定的《中央财政困难群众基本生活救助补助资金管理办法》和《特克斯县低保审核确认(审批)权限下放改革工作方案》、《特克斯县《临时救助办法》的补充说明》、《特克斯县高龄老人基本生活津贴发放办法》等规定流程，资金支出按照内控体系中设定的流程申报审批进行；项目支出属于政府采购的，按照《采购与招标管理办法》组织人员制定采购计划，按照财政局采购部门批复，进行公开招标、邀请招标等方式进行；属于非政府采购的项目，按照“三重一大”制度规定，重大项目支出上党组会研究决定。</w:t>
      </w:r>
    </w:p>
    <w:p>
      <w:pPr>
        <w:pStyle w:val="5"/>
        <w:spacing w:line="560" w:lineRule="exact"/>
        <w:rPr>
          <w:rStyle w:val="17"/>
          <w:b/>
          <w:bCs/>
          <w:sz w:val="28"/>
          <w:szCs w:val="28"/>
        </w:rPr>
      </w:pPr>
      <w:bookmarkStart w:id="14" w:name="_Toc70450301"/>
      <w:r>
        <w:rPr>
          <w:rStyle w:val="17"/>
          <w:rFonts w:hint="eastAsia"/>
          <w:b/>
          <w:bCs/>
          <w:sz w:val="28"/>
          <w:szCs w:val="28"/>
        </w:rPr>
        <w:t>（二）基本支出管理及使用情况</w:t>
      </w:r>
      <w:bookmarkEnd w:id="14"/>
    </w:p>
    <w:p>
      <w:pPr>
        <w:spacing w:line="560" w:lineRule="exact"/>
        <w:ind w:firstLine="560" w:firstLineChars="200"/>
        <w:rPr>
          <w:rFonts w:hint="eastAsia" w:ascii="仿宋_GB2312" w:eastAsia="仿宋_GB2312"/>
          <w:sz w:val="28"/>
          <w:szCs w:val="36"/>
        </w:rPr>
      </w:pPr>
      <w:r>
        <w:rPr>
          <w:rFonts w:hint="eastAsia" w:ascii="仿宋_GB2312" w:eastAsia="仿宋_GB2312"/>
          <w:sz w:val="28"/>
          <w:szCs w:val="36"/>
        </w:rPr>
        <w:t>2021年基本支出预算安排450.09万元，实际到位450.09万元,实际支出万450.09元，占总支出的</w:t>
      </w:r>
      <w:r>
        <w:rPr>
          <w:rFonts w:hint="eastAsia" w:ascii="仿宋_GB2312" w:eastAsia="仿宋_GB2312"/>
          <w:sz w:val="28"/>
          <w:szCs w:val="36"/>
          <w:lang w:val="en-US" w:eastAsia="zh-CN"/>
        </w:rPr>
        <w:t>6.15</w:t>
      </w:r>
      <w:r>
        <w:rPr>
          <w:rFonts w:hint="eastAsia" w:ascii="仿宋_GB2312" w:eastAsia="仿宋_GB2312"/>
          <w:sz w:val="28"/>
          <w:szCs w:val="36"/>
        </w:rPr>
        <w:t>％，其中：工资福利支出423.35万元、商品和服务支出9.4万元、对个人和家庭的补助17.34万元、主要用于保障人员工资与社保、日常办公公用经费、对退休人员、个人与家庭的补助等。</w:t>
      </w:r>
    </w:p>
    <w:p>
      <w:pPr>
        <w:spacing w:line="560" w:lineRule="exact"/>
        <w:ind w:firstLine="560" w:firstLineChars="200"/>
        <w:rPr>
          <w:rFonts w:hint="eastAsia" w:ascii="仿宋_GB2312" w:eastAsia="仿宋_GB2312"/>
          <w:sz w:val="28"/>
          <w:szCs w:val="36"/>
        </w:rPr>
      </w:pPr>
      <w:r>
        <w:rPr>
          <w:rFonts w:hint="eastAsia" w:ascii="仿宋_GB2312" w:eastAsia="仿宋_GB2312"/>
          <w:sz w:val="28"/>
          <w:szCs w:val="36"/>
        </w:rPr>
        <w:t>2021年基本支出比上</w:t>
      </w:r>
      <w:r>
        <w:rPr>
          <w:rFonts w:hint="eastAsia" w:ascii="仿宋_GB2312" w:eastAsia="仿宋_GB2312"/>
          <w:color w:val="auto"/>
          <w:sz w:val="28"/>
          <w:szCs w:val="36"/>
        </w:rPr>
        <w:t>年</w:t>
      </w:r>
      <w:r>
        <w:rPr>
          <w:rFonts w:hint="eastAsia" w:ascii="仿宋_GB2312" w:eastAsia="仿宋_GB2312"/>
          <w:color w:val="auto"/>
          <w:sz w:val="28"/>
          <w:szCs w:val="36"/>
          <w:lang w:val="en-US" w:eastAsia="zh-CN"/>
        </w:rPr>
        <w:t>457.31万元，</w:t>
      </w:r>
      <w:r>
        <w:rPr>
          <w:rFonts w:hint="eastAsia" w:ascii="仿宋_GB2312" w:eastAsia="仿宋_GB2312"/>
          <w:color w:val="auto"/>
          <w:sz w:val="28"/>
          <w:szCs w:val="36"/>
        </w:rPr>
        <w:t>减少7.22万元，下</w:t>
      </w:r>
      <w:r>
        <w:rPr>
          <w:rFonts w:hint="eastAsia" w:ascii="仿宋_GB2312" w:eastAsia="仿宋_GB2312"/>
          <w:sz w:val="28"/>
          <w:szCs w:val="36"/>
        </w:rPr>
        <w:t>降1.58%，减少的主要原因是根据上级要求，对三公经费进行缩减，减少公用经费致使基本支出较上年缩减。</w:t>
      </w:r>
    </w:p>
    <w:p>
      <w:pPr>
        <w:spacing w:line="560" w:lineRule="exact"/>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 0.27万元，其中：因公出国（境）费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万元，公务用车购置</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万元，公务用车运行费 0.27万元</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 xml:space="preserve">公务接待费    </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560" w:lineRule="exact"/>
        <w:ind w:firstLine="492" w:firstLineChars="181"/>
        <w:rPr>
          <w:rStyle w:val="17"/>
          <w:rFonts w:hint="eastAsia" w:ascii="仿宋_GB2312" w:hAnsi="楷体" w:eastAsia="仿宋_GB2312" w:cs="Times New Roman"/>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年一般公共预算“三公”经费比上年减少 0.39万元，其中：因公出国（境）费增加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w:t>
      </w:r>
      <w:r>
        <w:rPr>
          <w:rStyle w:val="17"/>
          <w:rFonts w:hint="eastAsia" w:ascii="仿宋_GB2312" w:hAnsi="楷体" w:eastAsia="仿宋_GB2312"/>
          <w:b w:val="0"/>
          <w:spacing w:val="-4"/>
          <w:sz w:val="28"/>
          <w:szCs w:val="28"/>
          <w:lang w:val="en-US" w:eastAsia="zh-CN"/>
        </w:rPr>
        <w:t>未安排预算</w:t>
      </w:r>
      <w:r>
        <w:rPr>
          <w:rStyle w:val="17"/>
          <w:rFonts w:hint="eastAsia" w:ascii="仿宋_GB2312" w:hAnsi="楷体" w:eastAsia="仿宋_GB2312"/>
          <w:b w:val="0"/>
          <w:spacing w:val="-4"/>
          <w:sz w:val="28"/>
          <w:szCs w:val="28"/>
        </w:rPr>
        <w:t>；公务用车购置费为0，未安排预算。公务用车运行费减少0.39万元，主要原因是</w:t>
      </w:r>
      <w:r>
        <w:rPr>
          <w:rStyle w:val="17"/>
          <w:rFonts w:hint="eastAsia" w:ascii="仿宋_GB2312" w:hAnsi="楷体" w:eastAsia="仿宋_GB2312" w:cs="Times New Roman"/>
          <w:b w:val="0"/>
          <w:spacing w:val="-4"/>
          <w:sz w:val="28"/>
          <w:szCs w:val="28"/>
        </w:rPr>
        <w:t>本单位加强了车辆管理制度，专人专管。</w:t>
      </w:r>
    </w:p>
    <w:p>
      <w:pPr>
        <w:pStyle w:val="5"/>
        <w:spacing w:line="560" w:lineRule="exact"/>
        <w:rPr>
          <w:rStyle w:val="17"/>
          <w:rFonts w:ascii="仿宋" w:hAnsi="仿宋" w:eastAsia="仿宋"/>
          <w:b/>
          <w:bCs/>
        </w:rPr>
      </w:pPr>
      <w:bookmarkStart w:id="15" w:name="_Toc70450302"/>
      <w:r>
        <w:rPr>
          <w:rStyle w:val="17"/>
          <w:rFonts w:hint="eastAsia" w:ascii="仿宋" w:hAnsi="仿宋" w:eastAsia="仿宋"/>
          <w:b/>
          <w:bCs/>
        </w:rPr>
        <w:t>（三）专项支出管理及使用情况</w:t>
      </w:r>
      <w:bookmarkEnd w:id="15"/>
    </w:p>
    <w:p>
      <w:pPr>
        <w:pStyle w:val="6"/>
        <w:spacing w:line="560" w:lineRule="exact"/>
        <w:ind w:firstLine="562" w:firstLineChars="200"/>
        <w:rPr>
          <w:rStyle w:val="17"/>
          <w:rFonts w:ascii="仿宋" w:hAnsi="仿宋" w:eastAsia="仿宋"/>
          <w:b/>
          <w:bCs/>
        </w:rPr>
      </w:pPr>
      <w:bookmarkStart w:id="16" w:name="_Toc70450303"/>
      <w:r>
        <w:rPr>
          <w:rStyle w:val="17"/>
          <w:rFonts w:hint="eastAsia" w:ascii="仿宋" w:hAnsi="仿宋" w:eastAsia="仿宋"/>
          <w:b/>
          <w:bCs/>
        </w:rPr>
        <w:t>1、专项资金安排落实、总投入等情况分析</w:t>
      </w:r>
      <w:bookmarkEnd w:id="16"/>
    </w:p>
    <w:p>
      <w:pPr>
        <w:spacing w:line="560" w:lineRule="exact"/>
        <w:ind w:firstLine="492" w:firstLineChars="181"/>
        <w:rPr>
          <w:rStyle w:val="17"/>
          <w:rFonts w:hint="eastAsia" w:ascii="仿宋_GB2312" w:hAnsi="楷体" w:eastAsia="仿宋_GB2312"/>
          <w:b w:val="0"/>
          <w:spacing w:val="-4"/>
          <w:sz w:val="28"/>
          <w:szCs w:val="28"/>
          <w:highlight w:val="none"/>
          <w:lang w:eastAsia="zh-CN"/>
        </w:rPr>
      </w:pP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年预算安排专</w:t>
      </w:r>
      <w:r>
        <w:rPr>
          <w:rStyle w:val="17"/>
          <w:rFonts w:hint="eastAsia" w:ascii="仿宋_GB2312" w:hAnsi="楷体" w:eastAsia="仿宋_GB2312" w:cs="Times New Roman"/>
          <w:b w:val="0"/>
          <w:spacing w:val="-4"/>
          <w:sz w:val="28"/>
          <w:szCs w:val="28"/>
          <w:highlight w:val="none"/>
        </w:rPr>
        <w:t>项资金</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cs="Times New Roman"/>
          <w:b w:val="0"/>
          <w:spacing w:val="-4"/>
          <w:sz w:val="28"/>
          <w:szCs w:val="28"/>
          <w:highlight w:val="none"/>
        </w:rPr>
        <w:t>万元，实际到位</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cs="Times New Roman"/>
          <w:b w:val="0"/>
          <w:spacing w:val="-4"/>
          <w:sz w:val="28"/>
          <w:szCs w:val="28"/>
          <w:highlight w:val="none"/>
        </w:rPr>
        <w:t>万</w:t>
      </w:r>
      <w:r>
        <w:rPr>
          <w:rStyle w:val="17"/>
          <w:rFonts w:hint="eastAsia" w:ascii="仿宋_GB2312" w:hAnsi="楷体" w:eastAsia="仿宋_GB2312"/>
          <w:b w:val="0"/>
          <w:spacing w:val="-4"/>
          <w:sz w:val="28"/>
          <w:szCs w:val="28"/>
          <w:highlight w:val="none"/>
        </w:rPr>
        <w:t>元,到位率100％,其中:中央转移支付项目资金5455万元，自治区资金164万元，本级安排1</w:t>
      </w:r>
      <w:r>
        <w:rPr>
          <w:rStyle w:val="17"/>
          <w:rFonts w:hint="eastAsia" w:ascii="仿宋_GB2312" w:hAnsi="楷体" w:eastAsia="仿宋_GB2312"/>
          <w:b w:val="0"/>
          <w:spacing w:val="-4"/>
          <w:sz w:val="28"/>
          <w:szCs w:val="28"/>
          <w:highlight w:val="none"/>
          <w:lang w:val="en-US" w:eastAsia="zh-CN"/>
        </w:rPr>
        <w:t>250</w:t>
      </w:r>
      <w:r>
        <w:rPr>
          <w:rStyle w:val="17"/>
          <w:rFonts w:hint="eastAsia" w:ascii="仿宋_GB2312" w:hAnsi="楷体" w:eastAsia="仿宋_GB2312"/>
          <w:b w:val="0"/>
          <w:spacing w:val="-4"/>
          <w:sz w:val="28"/>
          <w:szCs w:val="28"/>
          <w:highlight w:val="none"/>
        </w:rPr>
        <w:t>.01万元</w:t>
      </w:r>
      <w:r>
        <w:rPr>
          <w:rStyle w:val="17"/>
          <w:rFonts w:hint="eastAsia" w:ascii="仿宋_GB2312" w:hAnsi="楷体" w:eastAsia="仿宋_GB2312"/>
          <w:b w:val="0"/>
          <w:spacing w:val="-4"/>
          <w:sz w:val="28"/>
          <w:szCs w:val="28"/>
          <w:highlight w:val="none"/>
          <w:lang w:eastAsia="zh-CN"/>
        </w:rPr>
        <w:t>。</w:t>
      </w:r>
    </w:p>
    <w:p>
      <w:pPr>
        <w:pStyle w:val="6"/>
        <w:spacing w:line="560" w:lineRule="exact"/>
        <w:ind w:firstLine="562" w:firstLineChars="200"/>
        <w:rPr>
          <w:rStyle w:val="17"/>
          <w:rFonts w:ascii="仿宋" w:hAnsi="仿宋" w:eastAsia="仿宋"/>
          <w:b/>
          <w:bCs/>
          <w:highlight w:val="none"/>
        </w:rPr>
      </w:pPr>
      <w:bookmarkStart w:id="17" w:name="_Toc70450304"/>
      <w:r>
        <w:rPr>
          <w:rStyle w:val="17"/>
          <w:rFonts w:hint="eastAsia" w:ascii="仿宋" w:hAnsi="仿宋" w:eastAsia="仿宋"/>
          <w:b/>
          <w:bCs/>
          <w:highlight w:val="none"/>
        </w:rPr>
        <w:t>2、专项资金实际使用情况</w:t>
      </w:r>
      <w:bookmarkEnd w:id="17"/>
    </w:p>
    <w:p>
      <w:pPr>
        <w:snapToGrid w:val="0"/>
        <w:spacing w:line="560" w:lineRule="exact"/>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b w:val="0"/>
          <w:spacing w:val="-4"/>
          <w:sz w:val="28"/>
          <w:szCs w:val="28"/>
          <w:highlight w:val="none"/>
        </w:rPr>
        <w:t>2021年专项资金支出</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万元，占总支出的9</w:t>
      </w:r>
      <w:r>
        <w:rPr>
          <w:rStyle w:val="17"/>
          <w:rFonts w:hint="eastAsia" w:ascii="仿宋_GB2312" w:hAnsi="楷体" w:eastAsia="仿宋_GB2312"/>
          <w:b w:val="0"/>
          <w:spacing w:val="-4"/>
          <w:sz w:val="28"/>
          <w:szCs w:val="28"/>
          <w:highlight w:val="none"/>
          <w:lang w:val="en-US" w:eastAsia="zh-CN"/>
        </w:rPr>
        <w:t>3.85</w:t>
      </w:r>
      <w:r>
        <w:rPr>
          <w:rStyle w:val="17"/>
          <w:rFonts w:hint="eastAsia" w:ascii="仿宋_GB2312" w:hAnsi="楷体" w:eastAsia="仿宋_GB2312"/>
          <w:b w:val="0"/>
          <w:spacing w:val="-4"/>
          <w:sz w:val="28"/>
          <w:szCs w:val="28"/>
          <w:highlight w:val="none"/>
        </w:rPr>
        <w:t>%，其中2021年专项项目支出比上年</w:t>
      </w:r>
      <w:r>
        <w:rPr>
          <w:rStyle w:val="17"/>
          <w:rFonts w:hint="eastAsia" w:ascii="仿宋_GB2312" w:hAnsi="楷体" w:eastAsia="仿宋_GB2312"/>
          <w:b w:val="0"/>
          <w:spacing w:val="-4"/>
          <w:sz w:val="28"/>
          <w:szCs w:val="28"/>
          <w:highlight w:val="none"/>
          <w:lang w:val="en-US" w:eastAsia="zh-CN"/>
        </w:rPr>
        <w:t xml:space="preserve"> 6737.05</w:t>
      </w:r>
      <w:r>
        <w:rPr>
          <w:rStyle w:val="17"/>
          <w:rFonts w:hint="eastAsia" w:ascii="仿宋_GB2312" w:hAnsi="楷体" w:eastAsia="仿宋_GB2312"/>
          <w:b w:val="0"/>
          <w:spacing w:val="-4"/>
          <w:sz w:val="28"/>
          <w:szCs w:val="28"/>
          <w:highlight w:val="none"/>
        </w:rPr>
        <w:t>万元增加</w:t>
      </w:r>
      <w:r>
        <w:rPr>
          <w:rStyle w:val="17"/>
          <w:rFonts w:hint="eastAsia" w:ascii="仿宋_GB2312" w:hAnsi="楷体" w:eastAsia="仿宋_GB2312"/>
          <w:b w:val="0"/>
          <w:spacing w:val="-4"/>
          <w:sz w:val="28"/>
          <w:szCs w:val="28"/>
          <w:highlight w:val="none"/>
          <w:lang w:val="en-US" w:eastAsia="zh-CN"/>
        </w:rPr>
        <w:t>131.96</w:t>
      </w:r>
      <w:r>
        <w:rPr>
          <w:rStyle w:val="17"/>
          <w:rFonts w:hint="eastAsia" w:ascii="仿宋_GB2312" w:hAnsi="楷体" w:eastAsia="仿宋_GB2312"/>
          <w:b w:val="0"/>
          <w:spacing w:val="-4"/>
          <w:sz w:val="28"/>
          <w:szCs w:val="28"/>
          <w:highlight w:val="none"/>
        </w:rPr>
        <w:t>万元，上升</w:t>
      </w:r>
      <w:r>
        <w:rPr>
          <w:rStyle w:val="17"/>
          <w:rFonts w:hint="eastAsia" w:ascii="仿宋_GB2312" w:hAnsi="楷体" w:eastAsia="仿宋_GB2312"/>
          <w:b w:val="0"/>
          <w:spacing w:val="-4"/>
          <w:sz w:val="28"/>
          <w:szCs w:val="28"/>
          <w:highlight w:val="none"/>
          <w:lang w:val="en-US" w:eastAsia="zh-CN"/>
        </w:rPr>
        <w:t>1.96</w:t>
      </w:r>
      <w:r>
        <w:rPr>
          <w:rStyle w:val="17"/>
          <w:rFonts w:hint="eastAsia" w:ascii="仿宋_GB2312" w:hAnsi="楷体" w:eastAsia="仿宋_GB2312"/>
          <w:b w:val="0"/>
          <w:spacing w:val="-4"/>
          <w:sz w:val="28"/>
          <w:szCs w:val="28"/>
          <w:highlight w:val="none"/>
        </w:rPr>
        <w:t>%。支出上升的主</w:t>
      </w:r>
      <w:r>
        <w:rPr>
          <w:rStyle w:val="17"/>
          <w:rFonts w:hint="eastAsia" w:ascii="仿宋_GB2312" w:hAnsi="楷体" w:eastAsia="仿宋_GB2312" w:cs="Times New Roman"/>
          <w:b w:val="0"/>
          <w:spacing w:val="-4"/>
          <w:sz w:val="28"/>
          <w:szCs w:val="28"/>
          <w:highlight w:val="none"/>
        </w:rPr>
        <w:t>要原因是因2021年新冠肺炎疫情防控工作的要求增加困难群众生活补助支出。</w:t>
      </w:r>
    </w:p>
    <w:p>
      <w:pPr>
        <w:spacing w:line="560" w:lineRule="exact"/>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其中：老年福利项目安排229.5万元，主要用于完成关于发放老龄津贴，福利机构人员工资支出项目安排192.13万元，主要用于保障福利机构人员经费，残疾人事业项目安排472.31万元，用于发放残疾人两项补贴，最低生活保障项目安排524.12万元，用于发放城乡低保等，临时救助项目安排10万元，用于发放临时救助，其他社会保障和就业支出项目5438.14万元，用于发放城乡低保、流浪乞讨、孤儿、特困救助资金，农村幸福大院建设项目安排支出300万元，用于建设三个幸福大院，使困难群众就进入住，州级彩票公益金发放高龄补助、外地上学孤儿补助和农村幸福大院支出226.8万元。</w:t>
      </w:r>
    </w:p>
    <w:p>
      <w:pPr>
        <w:pStyle w:val="2"/>
        <w:spacing w:line="560" w:lineRule="exact"/>
      </w:pPr>
    </w:p>
    <w:p>
      <w:pPr>
        <w:pStyle w:val="6"/>
        <w:spacing w:line="560" w:lineRule="exact"/>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w:t>
      </w:r>
      <w:r>
        <w:rPr>
          <w:rStyle w:val="17"/>
          <w:rFonts w:hint="eastAsia" w:ascii="仿宋_GB2312" w:hAnsi="楷体" w:eastAsia="仿宋_GB2312" w:cs="Times New Roman"/>
          <w:b w:val="0"/>
          <w:spacing w:val="-4"/>
          <w:sz w:val="28"/>
          <w:szCs w:val="28"/>
        </w:rPr>
        <w:t>效益，我单位</w:t>
      </w:r>
      <w:r>
        <w:rPr>
          <w:rStyle w:val="17"/>
          <w:rFonts w:hint="eastAsia" w:ascii="仿宋_GB2312" w:hAnsi="楷体" w:eastAsia="仿宋_GB2312"/>
          <w:b w:val="0"/>
          <w:spacing w:val="-4"/>
          <w:sz w:val="28"/>
          <w:szCs w:val="28"/>
        </w:rPr>
        <w:t>主要采取四项措施。</w:t>
      </w:r>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特克斯县低保审核确认(审批)权限下放改革工作方案》、《特克斯县《临时救助办法》的补充说明》、《特克斯县高龄老人基本生活津贴发放办法》、专项资金管理办法，各项资金使用审批流程均按规定办理。涉及“三重一大”内容，严格按照规定提请局党组会审议决定，包括项目资金分配、重大项目确定、大额资金支付等。</w:t>
      </w:r>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w:t>
      </w:r>
      <w:r>
        <w:rPr>
          <w:rStyle w:val="17"/>
          <w:rFonts w:hint="eastAsia" w:ascii="仿宋_GB2312" w:hAnsi="楷体" w:eastAsia="仿宋_GB2312"/>
          <w:b w:val="0"/>
          <w:spacing w:val="-4"/>
          <w:sz w:val="28"/>
          <w:szCs w:val="28"/>
          <w:lang w:val="en-US" w:eastAsia="zh-CN"/>
        </w:rPr>
        <w:t>特克斯县民政局</w:t>
      </w:r>
      <w:r>
        <w:rPr>
          <w:rStyle w:val="17"/>
          <w:rFonts w:hint="eastAsia" w:ascii="仿宋_GB2312" w:hAnsi="楷体" w:eastAsia="仿宋_GB2312"/>
          <w:b w:val="0"/>
          <w:spacing w:val="-4"/>
          <w:sz w:val="28"/>
          <w:szCs w:val="28"/>
        </w:rPr>
        <w:t>专项资金专帐，做到有据可依，有据可查。</w:t>
      </w:r>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（3）制订了</w:t>
      </w:r>
      <w:r>
        <w:rPr>
          <w:rStyle w:val="17"/>
          <w:rFonts w:hint="eastAsia" w:ascii="仿宋_GB2312" w:hAnsi="楷体" w:eastAsia="仿宋_GB2312"/>
          <w:b w:val="0"/>
          <w:spacing w:val="-4"/>
          <w:sz w:val="28"/>
          <w:szCs w:val="28"/>
          <w:lang w:val="en-US" w:eastAsia="zh-CN"/>
        </w:rPr>
        <w:t>特克斯县民政局</w:t>
      </w:r>
      <w:r>
        <w:rPr>
          <w:rStyle w:val="17"/>
          <w:rFonts w:hint="eastAsia" w:ascii="仿宋_GB2312" w:hAnsi="楷体" w:eastAsia="仿宋_GB2312"/>
          <w:b w:val="0"/>
          <w:spacing w:val="-4"/>
          <w:sz w:val="28"/>
          <w:szCs w:val="28"/>
        </w:rPr>
        <w:t>项目实施方案，确保项目可实施性。</w:t>
      </w:r>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w:t>
      </w:r>
      <w:r>
        <w:rPr>
          <w:rStyle w:val="17"/>
          <w:rFonts w:hint="eastAsia" w:ascii="仿宋_GB2312" w:hAnsi="楷体" w:eastAsia="仿宋_GB2312"/>
          <w:b w:val="0"/>
          <w:spacing w:val="-4"/>
          <w:sz w:val="28"/>
          <w:szCs w:val="28"/>
          <w:lang w:val="en-US" w:eastAsia="zh-CN"/>
        </w:rPr>
        <w:t>特克斯县民政局</w:t>
      </w:r>
      <w:r>
        <w:rPr>
          <w:rStyle w:val="17"/>
          <w:rFonts w:hint="eastAsia" w:ascii="仿宋_GB2312" w:hAnsi="楷体" w:eastAsia="仿宋_GB2312"/>
          <w:b w:val="0"/>
          <w:spacing w:val="-4"/>
          <w:sz w:val="28"/>
          <w:szCs w:val="28"/>
        </w:rPr>
        <w:t>项目验收，确保项目真实、科学、公正。</w:t>
      </w:r>
    </w:p>
    <w:p>
      <w:pPr>
        <w:spacing w:line="560" w:lineRule="exac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专项资金涉及政府采购项目的，按照局《项目采购与招标管理办法》组织人员制定采购计划，按照财政局采购部门批复，进行公开招标、邀请招标等方式进行。</w:t>
      </w:r>
    </w:p>
    <w:p>
      <w:pPr>
        <w:spacing w:line="560" w:lineRule="exact"/>
        <w:ind w:firstLine="492" w:firstLineChars="181"/>
        <w:rPr>
          <w:rStyle w:val="17"/>
          <w:rFonts w:ascii="仿宋_GB2312" w:hAnsi="楷体" w:eastAsia="仿宋_GB2312"/>
          <w:b w:val="0"/>
          <w:spacing w:val="-4"/>
          <w:sz w:val="28"/>
          <w:szCs w:val="28"/>
        </w:rPr>
      </w:pPr>
    </w:p>
    <w:p>
      <w:pPr>
        <w:pStyle w:val="4"/>
        <w:spacing w:line="560" w:lineRule="exact"/>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pStyle w:val="6"/>
        <w:numPr>
          <w:ilvl w:val="0"/>
          <w:numId w:val="2"/>
        </w:numPr>
        <w:spacing w:line="560" w:lineRule="exact"/>
        <w:rPr>
          <w:rStyle w:val="17"/>
          <w:rFonts w:ascii="仿宋" w:hAnsi="仿宋" w:eastAsia="仿宋"/>
          <w:b/>
          <w:bCs/>
        </w:rPr>
      </w:pPr>
      <w:bookmarkStart w:id="20" w:name="_Toc70450308"/>
      <w:r>
        <w:rPr>
          <w:rStyle w:val="17"/>
          <w:rFonts w:hint="eastAsia" w:ascii="仿宋" w:hAnsi="仿宋" w:eastAsia="仿宋"/>
          <w:b/>
          <w:bCs/>
        </w:rPr>
        <w:t>专项组织情况分析</w:t>
      </w:r>
      <w:bookmarkEnd w:id="20"/>
    </w:p>
    <w:p>
      <w:pPr>
        <w:snapToGrid w:val="0"/>
        <w:spacing w:line="560" w:lineRule="exact"/>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1、前期准备</w:t>
      </w:r>
    </w:p>
    <w:p>
      <w:pPr>
        <w:spacing w:line="560" w:lineRule="exact"/>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lang w:val="zh-CN"/>
        </w:rPr>
        <w:t>年初我单位下发的专项工作计划，对项目的工作分工、任务分配、资金落实、完成时限等提出了明确、具体的要求，以确保项目保质、保量、按时完成。并通过前期调研</w:t>
      </w:r>
      <w:r>
        <w:rPr>
          <w:rStyle w:val="17"/>
          <w:rFonts w:hint="eastAsia" w:ascii="仿宋_GB2312" w:hAnsi="楷体" w:eastAsia="仿宋_GB2312" w:cs="Times New Roman"/>
          <w:b w:val="0"/>
          <w:spacing w:val="-4"/>
          <w:sz w:val="28"/>
          <w:szCs w:val="28"/>
        </w:rPr>
        <w:t>确定绩效评价对象和范围，</w:t>
      </w:r>
      <w:r>
        <w:rPr>
          <w:rStyle w:val="17"/>
          <w:rFonts w:hint="eastAsia" w:ascii="仿宋_GB2312" w:hAnsi="楷体" w:eastAsia="仿宋_GB2312" w:cs="Times New Roman"/>
          <w:b w:val="0"/>
          <w:spacing w:val="-4"/>
          <w:sz w:val="28"/>
          <w:szCs w:val="28"/>
          <w:lang w:val="zh-CN"/>
        </w:rPr>
        <w:t>确定了评价的目的、方法以及评价的原则，根据项目的内容和特征制定了评价指标体系及评价标准以及评价实施方案，修正并确定所需资料清单，最终确定</w:t>
      </w:r>
      <w:r>
        <w:rPr>
          <w:rStyle w:val="17"/>
          <w:rFonts w:hint="eastAsia" w:ascii="仿宋_GB2312" w:hAnsi="楷体" w:eastAsia="仿宋_GB2312" w:cs="Times New Roman"/>
          <w:b w:val="0"/>
          <w:spacing w:val="-4"/>
          <w:sz w:val="28"/>
          <w:szCs w:val="28"/>
        </w:rPr>
        <w:t>绩效评价工作方案。</w:t>
      </w:r>
    </w:p>
    <w:p>
      <w:pPr>
        <w:spacing w:line="560" w:lineRule="exact"/>
        <w:ind w:firstLine="492" w:firstLineChars="181"/>
        <w:rPr>
          <w:rStyle w:val="17"/>
          <w:rFonts w:hint="eastAsia" w:ascii="仿宋_GB2312" w:hAnsi="楷体" w:eastAsia="仿宋_GB2312" w:cs="Times New Roman"/>
          <w:b w:val="0"/>
          <w:spacing w:val="-4"/>
          <w:sz w:val="28"/>
          <w:szCs w:val="28"/>
          <w:lang w:val="zh-CN"/>
        </w:rPr>
      </w:pPr>
      <w:r>
        <w:rPr>
          <w:rStyle w:val="17"/>
          <w:rFonts w:hint="eastAsia" w:ascii="仿宋_GB2312" w:hAnsi="楷体" w:eastAsia="仿宋_GB2312" w:cs="Times New Roman"/>
          <w:b w:val="0"/>
          <w:spacing w:val="-4"/>
          <w:sz w:val="28"/>
          <w:szCs w:val="28"/>
          <w:lang w:val="zh-CN"/>
        </w:rPr>
        <w:t>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numPr>
          <w:ilvl w:val="0"/>
          <w:numId w:val="3"/>
        </w:numPr>
        <w:snapToGrid w:val="0"/>
        <w:spacing w:line="560" w:lineRule="exact"/>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组织实施</w:t>
      </w:r>
    </w:p>
    <w:p>
      <w:pPr>
        <w:spacing w:line="560" w:lineRule="exact"/>
        <w:ind w:firstLine="492" w:firstLineChars="181"/>
        <w:rPr>
          <w:rStyle w:val="17"/>
          <w:rFonts w:hint="eastAsia" w:ascii="仿宋_GB2312" w:hAnsi="楷体" w:eastAsia="仿宋_GB2312" w:cs="Times New Roman"/>
          <w:b w:val="0"/>
          <w:spacing w:val="-4"/>
          <w:sz w:val="28"/>
          <w:szCs w:val="28"/>
          <w:lang w:val="zh-CN"/>
        </w:rPr>
      </w:pPr>
      <w:r>
        <w:rPr>
          <w:rStyle w:val="17"/>
          <w:rFonts w:hint="eastAsia" w:ascii="仿宋_GB2312" w:hAnsi="楷体" w:eastAsia="仿宋_GB2312" w:cs="Times New Roman"/>
          <w:b w:val="0"/>
          <w:spacing w:val="-4"/>
          <w:sz w:val="28"/>
          <w:szCs w:val="28"/>
          <w:lang w:val="zh-CN"/>
        </w:rPr>
        <w:t xml:space="preserve">我单位通过文件研读和前期调研等方式，收集、整理、总结部门的职能定位、中长期规划、年度工作计划以及专项项目实施情况。对于专项资金项目下达的绩效目标表，按照下达绩效目标，立足实际完成情况，开展专项项目绩效自评。收集绩效评价相关数据资料，进行现场调研、座谈；并与项目实施负责人沟通，了解资金的内容、操作流程、管理机制、资金使用方向等情况，分析形成初步结论。 </w:t>
      </w:r>
    </w:p>
    <w:p>
      <w:pPr>
        <w:spacing w:line="560" w:lineRule="exact"/>
        <w:ind w:firstLine="492" w:firstLineChars="181"/>
        <w:rPr>
          <w:rStyle w:val="17"/>
          <w:rFonts w:hint="eastAsia" w:ascii="仿宋_GB2312" w:hAnsi="楷体" w:eastAsia="仿宋_GB2312" w:cs="Times New Roman"/>
          <w:b w:val="0"/>
          <w:spacing w:val="-4"/>
          <w:sz w:val="28"/>
          <w:szCs w:val="28"/>
          <w:lang w:val="zh-CN"/>
        </w:rPr>
      </w:pPr>
      <w:r>
        <w:rPr>
          <w:rStyle w:val="17"/>
          <w:rFonts w:hint="eastAsia" w:ascii="仿宋_GB2312" w:hAnsi="楷体" w:eastAsia="仿宋_GB2312" w:cs="Times New Roman"/>
          <w:b w:val="0"/>
          <w:spacing w:val="-4"/>
          <w:sz w:val="28"/>
          <w:szCs w:val="28"/>
          <w:lang w:val="zh-CN"/>
        </w:rPr>
        <w:t>自评内容主要包括以下两个方面：</w:t>
      </w:r>
    </w:p>
    <w:p>
      <w:pPr>
        <w:spacing w:line="560" w:lineRule="exact"/>
        <w:ind w:firstLine="492" w:firstLineChars="181"/>
        <w:rPr>
          <w:rStyle w:val="17"/>
          <w:rFonts w:hint="eastAsia" w:ascii="仿宋_GB2312" w:hAnsi="楷体" w:eastAsia="仿宋_GB2312" w:cs="Times New Roman"/>
          <w:b w:val="0"/>
          <w:spacing w:val="-4"/>
          <w:sz w:val="28"/>
          <w:szCs w:val="28"/>
          <w:lang w:val="zh-CN"/>
        </w:rPr>
      </w:pPr>
      <w:r>
        <w:rPr>
          <w:rStyle w:val="17"/>
          <w:rFonts w:hint="eastAsia" w:ascii="仿宋_GB2312" w:hAnsi="楷体" w:eastAsia="仿宋_GB2312" w:cs="Times New Roman"/>
          <w:b w:val="0"/>
          <w:spacing w:val="-4"/>
          <w:sz w:val="28"/>
          <w:szCs w:val="28"/>
          <w:lang w:val="zh-CN"/>
        </w:rPr>
        <w:t>一是对专项项目预算执行情况进行分析，再考察专项项目产出、项目目标的实现程度和管理有效性，从而总结项目取得的业绩和经验，发现项目存在的不足之处。</w:t>
      </w:r>
    </w:p>
    <w:p>
      <w:pPr>
        <w:spacing w:line="560" w:lineRule="exact"/>
        <w:ind w:firstLine="492" w:firstLineChars="181"/>
        <w:rPr>
          <w:rStyle w:val="17"/>
          <w:rFonts w:hint="eastAsia" w:ascii="仿宋_GB2312" w:hAnsi="楷体" w:eastAsia="仿宋_GB2312" w:cs="Times New Roman"/>
          <w:b w:val="0"/>
          <w:spacing w:val="-4"/>
          <w:sz w:val="28"/>
          <w:szCs w:val="28"/>
          <w:lang w:val="zh-CN"/>
        </w:rPr>
      </w:pPr>
      <w:r>
        <w:rPr>
          <w:rStyle w:val="17"/>
          <w:rFonts w:hint="eastAsia" w:ascii="仿宋_GB2312" w:hAnsi="楷体" w:eastAsia="仿宋_GB2312" w:cs="Times New Roman"/>
          <w:b w:val="0"/>
          <w:spacing w:val="-4"/>
          <w:sz w:val="28"/>
          <w:szCs w:val="28"/>
          <w:lang w:val="zh-CN"/>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pacing w:line="560" w:lineRule="exact"/>
        <w:ind w:firstLine="492" w:firstLineChars="181"/>
        <w:rPr>
          <w:rStyle w:val="17"/>
          <w:rFonts w:hint="eastAsia" w:ascii="仿宋_GB2312" w:hAnsi="楷体" w:eastAsia="仿宋_GB2312" w:cs="Times New Roman"/>
          <w:b w:val="0"/>
          <w:spacing w:val="-4"/>
          <w:sz w:val="28"/>
          <w:szCs w:val="28"/>
          <w:lang w:val="zh-CN"/>
        </w:rPr>
      </w:pPr>
      <w:r>
        <w:rPr>
          <w:rStyle w:val="17"/>
          <w:rFonts w:hint="eastAsia" w:ascii="仿宋_GB2312" w:hAnsi="楷体" w:eastAsia="仿宋_GB2312" w:cs="Times New Roman"/>
          <w:b w:val="0"/>
          <w:spacing w:val="-4"/>
          <w:sz w:val="28"/>
          <w:szCs w:val="28"/>
          <w:lang w:val="zh-CN"/>
        </w:rPr>
        <w:t>截止12月31日，该专项均按照时间计划保质、保量完成。</w:t>
      </w:r>
    </w:p>
    <w:p>
      <w:pPr>
        <w:pStyle w:val="6"/>
        <w:numPr>
          <w:ilvl w:val="0"/>
          <w:numId w:val="2"/>
        </w:numPr>
        <w:spacing w:line="560" w:lineRule="exact"/>
        <w:rPr>
          <w:rStyle w:val="17"/>
          <w:rFonts w:ascii="仿宋" w:hAnsi="仿宋" w:eastAsia="仿宋"/>
          <w:b/>
          <w:bCs/>
        </w:rPr>
      </w:pPr>
      <w:bookmarkStart w:id="21" w:name="_Toc70450309"/>
      <w:r>
        <w:rPr>
          <w:rStyle w:val="17"/>
          <w:rFonts w:hint="eastAsia" w:ascii="仿宋" w:hAnsi="仿宋" w:eastAsia="仿宋"/>
          <w:b/>
          <w:bCs/>
        </w:rPr>
        <w:t>专项管理情况分析</w:t>
      </w:r>
      <w:bookmarkEnd w:id="21"/>
    </w:p>
    <w:p>
      <w:pPr>
        <w:spacing w:line="560" w:lineRule="exact"/>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1、资金到位及使用情况</w:t>
      </w:r>
    </w:p>
    <w:p>
      <w:pPr>
        <w:spacing w:line="560" w:lineRule="exact"/>
        <w:ind w:firstLine="544" w:firstLineChars="200"/>
        <w:rPr>
          <w:rStyle w:val="17"/>
          <w:rFonts w:ascii="仿宋_GB2312" w:hAnsi="宋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w:t>
      </w:r>
      <w:r>
        <w:rPr>
          <w:rStyle w:val="17"/>
          <w:rFonts w:ascii="仿宋_GB2312" w:hAnsi="楷体" w:eastAsia="仿宋_GB2312"/>
          <w:b w:val="0"/>
          <w:spacing w:val="-4"/>
          <w:sz w:val="28"/>
          <w:szCs w:val="28"/>
          <w:highlight w:val="none"/>
        </w:rPr>
        <w:t>021</w:t>
      </w:r>
      <w:r>
        <w:rPr>
          <w:rStyle w:val="17"/>
          <w:rFonts w:hint="eastAsia" w:ascii="仿宋_GB2312" w:hAnsi="楷体" w:eastAsia="仿宋_GB2312"/>
          <w:b w:val="0"/>
          <w:spacing w:val="-4"/>
          <w:sz w:val="28"/>
          <w:szCs w:val="28"/>
          <w:highlight w:val="none"/>
        </w:rPr>
        <w:t>年涉及专项资金</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万元，实际到位</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万元，资金到位率100%。截止到</w:t>
      </w: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年1</w:t>
      </w:r>
      <w:r>
        <w:rPr>
          <w:rStyle w:val="17"/>
          <w:rFonts w:ascii="仿宋_GB2312" w:hAnsi="楷体" w:eastAsia="仿宋_GB2312"/>
          <w:b w:val="0"/>
          <w:spacing w:val="-4"/>
          <w:sz w:val="28"/>
          <w:szCs w:val="28"/>
          <w:highlight w:val="none"/>
        </w:rPr>
        <w:t>2</w:t>
      </w:r>
      <w:r>
        <w:rPr>
          <w:rStyle w:val="17"/>
          <w:rFonts w:hint="eastAsia" w:ascii="仿宋_GB2312" w:hAnsi="楷体" w:eastAsia="仿宋_GB2312"/>
          <w:b w:val="0"/>
          <w:spacing w:val="-4"/>
          <w:sz w:val="28"/>
          <w:szCs w:val="28"/>
          <w:highlight w:val="none"/>
        </w:rPr>
        <w:t>月31日执行</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万元，执行率100%。其中：20</w:t>
      </w:r>
      <w:r>
        <w:rPr>
          <w:rStyle w:val="17"/>
          <w:rFonts w:ascii="仿宋_GB2312" w:hAnsi="楷体" w:eastAsia="仿宋_GB2312"/>
          <w:b w:val="0"/>
          <w:spacing w:val="-4"/>
          <w:sz w:val="28"/>
          <w:szCs w:val="28"/>
          <w:highlight w:val="none"/>
        </w:rPr>
        <w:t>21</w:t>
      </w:r>
      <w:r>
        <w:rPr>
          <w:rStyle w:val="17"/>
          <w:rFonts w:hint="eastAsia" w:ascii="仿宋_GB2312" w:hAnsi="楷体" w:eastAsia="仿宋_GB2312"/>
          <w:b w:val="0"/>
          <w:spacing w:val="-4"/>
          <w:sz w:val="28"/>
          <w:szCs w:val="28"/>
          <w:highlight w:val="none"/>
        </w:rPr>
        <w:t>年结转专项资金0万元，实际执行0万元，执行率为0%；202</w:t>
      </w:r>
      <w:r>
        <w:rPr>
          <w:rStyle w:val="17"/>
          <w:rFonts w:ascii="仿宋_GB2312" w:hAnsi="楷体" w:eastAsia="仿宋_GB2312"/>
          <w:b w:val="0"/>
          <w:spacing w:val="-4"/>
          <w:sz w:val="28"/>
          <w:szCs w:val="28"/>
          <w:highlight w:val="none"/>
        </w:rPr>
        <w:t>1</w:t>
      </w:r>
      <w:r>
        <w:rPr>
          <w:rStyle w:val="17"/>
          <w:rFonts w:hint="eastAsia" w:ascii="仿宋_GB2312" w:hAnsi="楷体" w:eastAsia="仿宋_GB2312"/>
          <w:b w:val="0"/>
          <w:spacing w:val="-4"/>
          <w:sz w:val="28"/>
          <w:szCs w:val="28"/>
          <w:highlight w:val="none"/>
        </w:rPr>
        <w:t>年新增专项资金</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万元，实际执行</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万元，执行率为</w:t>
      </w:r>
      <w:r>
        <w:rPr>
          <w:rStyle w:val="17"/>
          <w:rFonts w:hint="eastAsia" w:ascii="仿宋_GB2312" w:hAnsi="楷体" w:eastAsia="仿宋_GB2312"/>
          <w:b w:val="0"/>
          <w:spacing w:val="-4"/>
          <w:sz w:val="28"/>
          <w:szCs w:val="28"/>
          <w:highlight w:val="none"/>
          <w:lang w:val="en-US" w:eastAsia="zh-CN"/>
        </w:rPr>
        <w:t>10</w:t>
      </w:r>
      <w:r>
        <w:rPr>
          <w:rStyle w:val="17"/>
          <w:rFonts w:hint="eastAsia" w:ascii="仿宋_GB2312" w:hAnsi="楷体" w:eastAsia="仿宋_GB2312"/>
          <w:b w:val="0"/>
          <w:spacing w:val="-4"/>
          <w:sz w:val="28"/>
          <w:szCs w:val="28"/>
          <w:highlight w:val="none"/>
        </w:rPr>
        <w:t>0%。</w:t>
      </w:r>
    </w:p>
    <w:p>
      <w:pPr>
        <w:spacing w:line="560" w:lineRule="exact"/>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2、资金管理情况</w:t>
      </w:r>
    </w:p>
    <w:p>
      <w:pPr>
        <w:spacing w:line="560" w:lineRule="exact"/>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我单位严格执行根据《全区民政社会救助资金社会化发放实施方 案》(新民发[2018] 58号)和《关于进一步加强惠民惠农财政补贴资金“一卡通”管理的实施方案》(新财办[2021]21号)文件精神要求，加强对专项资金的绩效管理，确保专款专用，提高专项资金使用效益。遵守相关法律法规，严肃财经纪律，自觉接受财政、审计、监察监督检查。</w:t>
      </w:r>
    </w:p>
    <w:p>
      <w:pPr>
        <w:pStyle w:val="6"/>
        <w:numPr>
          <w:ilvl w:val="0"/>
          <w:numId w:val="2"/>
        </w:numPr>
        <w:spacing w:line="560" w:lineRule="exact"/>
        <w:rPr>
          <w:rStyle w:val="17"/>
          <w:rFonts w:ascii="仿宋" w:hAnsi="仿宋" w:eastAsia="仿宋"/>
          <w:b/>
          <w:bCs/>
          <w:highlight w:val="none"/>
        </w:rPr>
      </w:pPr>
      <w:r>
        <w:rPr>
          <w:rStyle w:val="17"/>
          <w:rFonts w:hint="eastAsia" w:ascii="仿宋" w:hAnsi="仿宋" w:eastAsia="仿宋"/>
          <w:b/>
          <w:bCs/>
          <w:highlight w:val="none"/>
        </w:rPr>
        <w:t>项目实施情况分析</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w:t>
      </w:r>
      <w:r>
        <w:rPr>
          <w:rStyle w:val="17"/>
          <w:rFonts w:ascii="仿宋_GB2312" w:hAnsi="楷体" w:eastAsia="仿宋_GB2312"/>
          <w:b w:val="0"/>
          <w:spacing w:val="-4"/>
          <w:sz w:val="28"/>
          <w:szCs w:val="28"/>
        </w:rPr>
        <w:t>、组织情况</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特克斯县民政局，根据2021年</w:t>
      </w:r>
      <w:r>
        <w:rPr>
          <w:rStyle w:val="17"/>
          <w:rFonts w:hint="eastAsia" w:ascii="仿宋_GB2312" w:hAnsi="楷体" w:eastAsia="仿宋_GB2312"/>
          <w:b w:val="0"/>
          <w:spacing w:val="-4"/>
          <w:sz w:val="28"/>
          <w:szCs w:val="28"/>
          <w:lang w:val="en-US" w:eastAsia="zh-CN"/>
        </w:rPr>
        <w:t>7</w:t>
      </w:r>
      <w:r>
        <w:rPr>
          <w:rStyle w:val="17"/>
          <w:rFonts w:hint="eastAsia" w:ascii="仿宋_GB2312" w:hAnsi="楷体" w:eastAsia="仿宋_GB2312"/>
          <w:b w:val="0"/>
          <w:spacing w:val="-4"/>
          <w:sz w:val="28"/>
          <w:szCs w:val="28"/>
        </w:rPr>
        <w:t>个项目的绩效目标及工作内容，将其细化分工至本单位5个负责人，加强组织领导，明确分工，各司其职，抓好工作目标任务的落实完成，同时年中要求负责人按照年初预算对本科室绩效工作进行自查自评，并报上半年工作情况总结，5月和8月对工作情况进行跟踪检查，确保绩效目标如期实现，不断提高财政资金配置和使用效益。</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、管理情况</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特克斯县民政局</w:t>
      </w:r>
      <w:r>
        <w:rPr>
          <w:rStyle w:val="17"/>
          <w:rFonts w:hint="eastAsia" w:ascii="仿宋_GB2312" w:hAnsi="楷体" w:eastAsia="仿宋_GB2312"/>
          <w:b w:val="0"/>
          <w:spacing w:val="-4"/>
          <w:sz w:val="28"/>
          <w:szCs w:val="28"/>
          <w:highlight w:val="none"/>
        </w:rPr>
        <w:t>，实施的</w:t>
      </w:r>
      <w:r>
        <w:rPr>
          <w:rStyle w:val="17"/>
          <w:rFonts w:hint="eastAsia" w:ascii="仿宋_GB2312" w:hAnsi="楷体" w:eastAsia="仿宋_GB2312"/>
          <w:b w:val="0"/>
          <w:spacing w:val="-4"/>
          <w:sz w:val="28"/>
          <w:szCs w:val="28"/>
          <w:highlight w:val="none"/>
          <w:lang w:val="en-US" w:eastAsia="zh-CN"/>
        </w:rPr>
        <w:t>7</w:t>
      </w:r>
      <w:r>
        <w:rPr>
          <w:rStyle w:val="17"/>
          <w:rFonts w:hint="eastAsia" w:ascii="仿宋_GB2312" w:hAnsi="楷体" w:eastAsia="仿宋_GB2312"/>
          <w:b w:val="0"/>
          <w:spacing w:val="-4"/>
          <w:sz w:val="28"/>
          <w:szCs w:val="28"/>
          <w:highlight w:val="none"/>
        </w:rPr>
        <w:t>个项目</w:t>
      </w:r>
      <w:r>
        <w:rPr>
          <w:rStyle w:val="17"/>
          <w:rFonts w:hint="eastAsia" w:ascii="仿宋_GB2312" w:hAnsi="楷体" w:eastAsia="仿宋_GB2312"/>
          <w:b w:val="0"/>
          <w:spacing w:val="-4"/>
          <w:sz w:val="28"/>
          <w:szCs w:val="28"/>
        </w:rPr>
        <w:t>，由相关业务科室指派专人进行全过程跟踪管理，科室负责人统筹推进项目实施，单位领导不定期对项目进度进行调度，并对项目质量进行控制。</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w:t>
      </w:r>
      <w:r>
        <w:rPr>
          <w:rStyle w:val="17"/>
          <w:rFonts w:ascii="仿宋_GB2312" w:hAnsi="楷体" w:eastAsia="仿宋_GB2312"/>
          <w:b w:val="0"/>
          <w:spacing w:val="-4"/>
          <w:sz w:val="28"/>
          <w:szCs w:val="28"/>
        </w:rPr>
        <w:t>、监管情况</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最低生活保障办公室、社会事务管理办公室、民间组织管理办公室、社会组织管理办公室、财务室从项目实施方案、项目预算、项目建设进度、项目成本、项目验收等环节，全过程对项目进行监管，并向本单位主要领导报告，以推进项目建设和提高项目质量，以发挥资金使用效益。</w:t>
      </w:r>
    </w:p>
    <w:p>
      <w:pPr>
        <w:pStyle w:val="6"/>
        <w:numPr>
          <w:ilvl w:val="0"/>
          <w:numId w:val="2"/>
        </w:numPr>
        <w:spacing w:line="560" w:lineRule="exact"/>
        <w:rPr>
          <w:rStyle w:val="17"/>
          <w:rFonts w:ascii="仿宋" w:hAnsi="仿宋" w:eastAsia="仿宋"/>
          <w:b/>
          <w:bCs/>
        </w:rPr>
      </w:pPr>
      <w:r>
        <w:rPr>
          <w:rStyle w:val="17"/>
          <w:rFonts w:hint="eastAsia" w:ascii="仿宋" w:hAnsi="仿宋" w:eastAsia="仿宋"/>
          <w:b/>
          <w:bCs/>
        </w:rPr>
        <w:t>绩效情况分析</w:t>
      </w:r>
    </w:p>
    <w:p>
      <w:pPr>
        <w:spacing w:line="560" w:lineRule="exact"/>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w:t>
      </w:r>
      <w:r>
        <w:rPr>
          <w:rStyle w:val="17"/>
          <w:rFonts w:ascii="仿宋_GB2312" w:hAnsi="楷体" w:eastAsia="仿宋_GB2312"/>
          <w:b w:val="0"/>
          <w:bCs w:val="0"/>
          <w:spacing w:val="-4"/>
          <w:sz w:val="28"/>
          <w:szCs w:val="28"/>
        </w:rPr>
        <w:t>、成本控制情况</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特克斯县民政局，所涉及专项项目均已于专项资金下达后按照资金文件及绩效管理要求设置《项目绩效目</w:t>
      </w:r>
      <w:r>
        <w:rPr>
          <w:rStyle w:val="17"/>
          <w:rFonts w:hint="eastAsia" w:ascii="仿宋_GB2312" w:hAnsi="楷体" w:eastAsia="仿宋_GB2312"/>
          <w:b w:val="0"/>
          <w:spacing w:val="-4"/>
          <w:sz w:val="28"/>
          <w:szCs w:val="28"/>
          <w:highlight w:val="none"/>
        </w:rPr>
        <w:t>标表》。</w:t>
      </w:r>
      <w:r>
        <w:rPr>
          <w:rStyle w:val="17"/>
          <w:rFonts w:hint="eastAsia" w:ascii="仿宋_GB2312" w:hAnsi="楷体" w:eastAsia="仿宋_GB2312"/>
          <w:b w:val="0"/>
          <w:spacing w:val="-4"/>
          <w:sz w:val="28"/>
          <w:szCs w:val="28"/>
          <w:highlight w:val="none"/>
          <w:lang w:val="en-US" w:eastAsia="zh-CN"/>
        </w:rPr>
        <w:t>7</w:t>
      </w:r>
      <w:r>
        <w:rPr>
          <w:rStyle w:val="17"/>
          <w:rFonts w:hint="eastAsia" w:ascii="仿宋_GB2312" w:hAnsi="楷体" w:eastAsia="仿宋_GB2312"/>
          <w:b w:val="0"/>
          <w:spacing w:val="-4"/>
          <w:sz w:val="28"/>
          <w:szCs w:val="28"/>
          <w:highlight w:val="none"/>
        </w:rPr>
        <w:t>个专项项目预算总额为</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7"/>
          <w:rFonts w:hint="eastAsia" w:ascii="仿宋_GB2312" w:hAnsi="楷体" w:eastAsia="仿宋_GB2312"/>
          <w:b w:val="0"/>
          <w:spacing w:val="-4"/>
          <w:sz w:val="28"/>
          <w:szCs w:val="28"/>
          <w:highlight w:val="none"/>
          <w:lang w:val="en-US" w:eastAsia="zh-CN"/>
        </w:rPr>
        <w:t>7</w:t>
      </w:r>
      <w:r>
        <w:rPr>
          <w:rStyle w:val="17"/>
          <w:rFonts w:hint="eastAsia" w:ascii="仿宋_GB2312" w:hAnsi="楷体" w:eastAsia="仿宋_GB2312"/>
          <w:b w:val="0"/>
          <w:spacing w:val="-4"/>
          <w:sz w:val="28"/>
          <w:szCs w:val="28"/>
          <w:highlight w:val="none"/>
        </w:rPr>
        <w:t>个项目总成本为</w:t>
      </w:r>
      <w:r>
        <w:rPr>
          <w:rStyle w:val="17"/>
          <w:rFonts w:hint="eastAsia" w:ascii="仿宋_GB2312" w:hAnsi="楷体" w:eastAsia="仿宋_GB2312" w:cs="Times New Roman"/>
          <w:b w:val="0"/>
          <w:spacing w:val="-4"/>
          <w:sz w:val="28"/>
          <w:szCs w:val="28"/>
          <w:highlight w:val="none"/>
          <w:lang w:val="en-US" w:eastAsia="zh-CN"/>
        </w:rPr>
        <w:t>6869.01</w:t>
      </w:r>
      <w:r>
        <w:rPr>
          <w:rStyle w:val="17"/>
          <w:rFonts w:hint="eastAsia" w:ascii="仿宋_GB2312" w:hAnsi="楷体" w:eastAsia="仿宋_GB2312"/>
          <w:b w:val="0"/>
          <w:spacing w:val="-4"/>
          <w:sz w:val="28"/>
          <w:szCs w:val="28"/>
          <w:highlight w:val="none"/>
        </w:rPr>
        <w:t>万元，不存在</w:t>
      </w:r>
      <w:r>
        <w:rPr>
          <w:rStyle w:val="17"/>
          <w:rFonts w:hint="eastAsia" w:ascii="仿宋_GB2312" w:hAnsi="楷体" w:eastAsia="仿宋_GB2312"/>
          <w:b w:val="0"/>
          <w:spacing w:val="-4"/>
          <w:sz w:val="28"/>
          <w:szCs w:val="28"/>
        </w:rPr>
        <w:t>超支情况。</w:t>
      </w:r>
    </w:p>
    <w:p>
      <w:pPr>
        <w:spacing w:line="560" w:lineRule="exact"/>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w:t>
      </w:r>
      <w:r>
        <w:rPr>
          <w:rStyle w:val="17"/>
          <w:rFonts w:ascii="仿宋_GB2312" w:hAnsi="楷体" w:eastAsia="仿宋_GB2312"/>
          <w:b w:val="0"/>
          <w:bCs w:val="0"/>
          <w:spacing w:val="-4"/>
          <w:sz w:val="28"/>
          <w:szCs w:val="28"/>
        </w:rPr>
        <w:t>、成本节约情况</w:t>
      </w:r>
    </w:p>
    <w:p>
      <w:pPr>
        <w:spacing w:line="560" w:lineRule="exact"/>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rPr>
        <w:t>特克斯县民政局，所涉及专项项目使用资金比专项项目总预算0万元，</w:t>
      </w:r>
      <w:bookmarkStart w:id="22" w:name="_Hlk96097132"/>
      <w:r>
        <w:rPr>
          <w:rStyle w:val="17"/>
          <w:rFonts w:hint="eastAsia" w:ascii="仿宋_GB2312" w:hAnsi="楷体" w:eastAsia="仿宋_GB2312"/>
          <w:b w:val="0"/>
          <w:spacing w:val="-4"/>
          <w:sz w:val="28"/>
          <w:szCs w:val="28"/>
        </w:rPr>
        <w:t>项目节约率</w:t>
      </w:r>
      <w:bookmarkEnd w:id="22"/>
      <w:r>
        <w:rPr>
          <w:rStyle w:val="17"/>
          <w:rFonts w:hint="eastAsia" w:ascii="仿宋_GB2312" w:hAnsi="楷体" w:eastAsia="仿宋_GB2312"/>
          <w:b w:val="0"/>
          <w:spacing w:val="-4"/>
          <w:sz w:val="28"/>
          <w:szCs w:val="28"/>
        </w:rPr>
        <w:t>为0%</w:t>
      </w:r>
      <w:r>
        <w:rPr>
          <w:rStyle w:val="17"/>
          <w:rFonts w:hint="eastAsia" w:ascii="仿宋_GB2312" w:hAnsi="楷体" w:eastAsia="仿宋_GB2312"/>
          <w:b w:val="0"/>
          <w:spacing w:val="-4"/>
          <w:sz w:val="28"/>
          <w:szCs w:val="28"/>
          <w:lang w:eastAsia="zh-CN"/>
        </w:rPr>
        <w:t>。</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项目效率性分析</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1、实施进度</w:t>
      </w:r>
    </w:p>
    <w:p>
      <w:pPr>
        <w:spacing w:line="560" w:lineRule="exact"/>
        <w:ind w:firstLine="544" w:firstLineChars="200"/>
        <w:rPr>
          <w:rStyle w:val="17"/>
          <w:rFonts w:hint="eastAsia" w:eastAsia="仿宋_GB2312" w:asciiTheme="minorEastAsia" w:hAnsiTheme="minorEastAsia"/>
          <w:bCs w:val="0"/>
          <w:spacing w:val="-4"/>
          <w:sz w:val="28"/>
          <w:szCs w:val="28"/>
          <w:lang w:eastAsia="zh-CN"/>
        </w:rPr>
      </w:pPr>
      <w:r>
        <w:rPr>
          <w:rStyle w:val="17"/>
          <w:rFonts w:hint="eastAsia" w:ascii="仿宋_GB2312" w:hAnsi="楷体" w:eastAsia="仿宋_GB2312"/>
          <w:b w:val="0"/>
          <w:spacing w:val="-4"/>
          <w:sz w:val="28"/>
          <w:szCs w:val="28"/>
        </w:rPr>
        <w:t>2021年特克斯县民政局共涉及专项</w:t>
      </w:r>
      <w:r>
        <w:rPr>
          <w:rStyle w:val="17"/>
          <w:rFonts w:hint="eastAsia" w:ascii="仿宋_GB2312" w:hAnsi="楷体" w:eastAsia="仿宋_GB2312"/>
          <w:b w:val="0"/>
          <w:spacing w:val="-4"/>
          <w:sz w:val="28"/>
          <w:szCs w:val="28"/>
          <w:highlight w:val="none"/>
        </w:rPr>
        <w:t>项目</w:t>
      </w:r>
      <w:r>
        <w:rPr>
          <w:rStyle w:val="17"/>
          <w:rFonts w:hint="eastAsia" w:ascii="仿宋_GB2312" w:hAnsi="楷体" w:eastAsia="仿宋_GB2312"/>
          <w:b w:val="0"/>
          <w:spacing w:val="-4"/>
          <w:sz w:val="28"/>
          <w:szCs w:val="28"/>
          <w:highlight w:val="none"/>
          <w:lang w:val="en-US" w:eastAsia="zh-CN"/>
        </w:rPr>
        <w:t>7</w:t>
      </w:r>
      <w:r>
        <w:rPr>
          <w:rStyle w:val="17"/>
          <w:rFonts w:hint="eastAsia" w:ascii="仿宋_GB2312" w:hAnsi="楷体" w:eastAsia="仿宋_GB2312"/>
          <w:b w:val="0"/>
          <w:spacing w:val="-4"/>
          <w:sz w:val="28"/>
          <w:szCs w:val="28"/>
          <w:highlight w:val="none"/>
        </w:rPr>
        <w:t>个，</w:t>
      </w:r>
      <w:r>
        <w:rPr>
          <w:rStyle w:val="17"/>
          <w:rFonts w:hint="eastAsia" w:ascii="仿宋_GB2312" w:hAnsi="楷体" w:eastAsia="仿宋_GB2312"/>
          <w:b w:val="0"/>
          <w:spacing w:val="-4"/>
          <w:sz w:val="28"/>
          <w:szCs w:val="28"/>
        </w:rPr>
        <w:t>截止到2021年底，通过专项项目实施过程中的有效监督，我单位按预期完成了</w:t>
      </w:r>
      <w:r>
        <w:rPr>
          <w:rStyle w:val="17"/>
          <w:rFonts w:hint="eastAsia" w:ascii="仿宋_GB2312" w:hAnsi="楷体" w:eastAsia="仿宋_GB2312"/>
          <w:b w:val="0"/>
          <w:spacing w:val="-4"/>
          <w:sz w:val="28"/>
          <w:szCs w:val="28"/>
          <w:lang w:val="en-US" w:eastAsia="zh-CN"/>
        </w:rPr>
        <w:t>7</w:t>
      </w:r>
      <w:r>
        <w:rPr>
          <w:rStyle w:val="17"/>
          <w:rFonts w:hint="eastAsia" w:ascii="仿宋_GB2312" w:hAnsi="楷体" w:eastAsia="仿宋_GB2312"/>
          <w:b w:val="0"/>
          <w:spacing w:val="-4"/>
          <w:sz w:val="28"/>
          <w:szCs w:val="28"/>
        </w:rPr>
        <w:t>个专项的各项专项任务，项目总体完成率为100%</w:t>
      </w:r>
      <w:r>
        <w:rPr>
          <w:rStyle w:val="17"/>
          <w:rFonts w:hint="eastAsia" w:ascii="仿宋_GB2312" w:hAnsi="楷体" w:eastAsia="仿宋_GB2312"/>
          <w:b w:val="0"/>
          <w:spacing w:val="-4"/>
          <w:sz w:val="28"/>
          <w:szCs w:val="28"/>
          <w:lang w:eastAsia="zh-CN"/>
        </w:rPr>
        <w:t>。</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2、完成质量</w:t>
      </w:r>
    </w:p>
    <w:p>
      <w:pPr>
        <w:spacing w:line="560" w:lineRule="exact"/>
        <w:ind w:firstLine="544" w:firstLineChars="200"/>
        <w:rPr>
          <w:rStyle w:val="17"/>
          <w:rFonts w:ascii="仿宋_GB2312" w:hAnsi="楷体" w:eastAsia="仿宋_GB2312"/>
          <w:b w:val="0"/>
          <w:spacing w:val="-4"/>
          <w:sz w:val="28"/>
          <w:szCs w:val="28"/>
        </w:rPr>
      </w:pPr>
      <w:bookmarkStart w:id="23" w:name="_Hlk96100380"/>
      <w:r>
        <w:rPr>
          <w:rStyle w:val="17"/>
          <w:rFonts w:hint="eastAsia" w:ascii="仿宋_GB2312" w:hAnsi="楷体" w:eastAsia="仿宋_GB2312"/>
          <w:b w:val="0"/>
          <w:spacing w:val="-4"/>
          <w:sz w:val="28"/>
          <w:szCs w:val="28"/>
          <w:lang w:val="en-US" w:eastAsia="zh-CN"/>
        </w:rPr>
        <w:t>7</w:t>
      </w:r>
      <w:r>
        <w:rPr>
          <w:rStyle w:val="17"/>
          <w:rFonts w:hint="eastAsia" w:ascii="仿宋_GB2312" w:hAnsi="楷体" w:eastAsia="仿宋_GB2312"/>
          <w:b w:val="0"/>
          <w:spacing w:val="-4"/>
          <w:sz w:val="28"/>
          <w:szCs w:val="28"/>
        </w:rPr>
        <w:t>个专项项目完成质量情况如下：</w:t>
      </w:r>
      <w:bookmarkEnd w:id="23"/>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①高龄老人基本生活津贴项目完成根据绩效目标的工作要求，按照时间节点全部已经完成高龄老人基本津贴工作，发放高龄津贴64万元。</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②社会福利事业（福彩圆梦·孤儿助学）专项补助项目完成根据《社会救助暂行办法》（国务院令第649号）和财政部、民政部制定了《中央财政困难群众基本生活救助补助资金管理办法》实施困难群众保障政策，切实保障孤儿助学需求，确保把党的惠民政策落到实处。向13名在外上学学生共计发放13万元。</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③残疾人事业发展补助资金项目完成根据《自治区人民政府关于建立困难残疾人生活补贴和重度残疾人护理补贴制度的实施意见》（新政发【2016】44号）文件精神，伊州民字【2016】139号文件要求，需要县级配套两项补贴金400万元。</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④特克斯县2021年高龄老人基本生活津贴资金项目完成根据《中华人民共和国老年人权益保障法》和《新疆维吾尔自治区保护老年人合法权益条例》《新疆维吾尔自治区优待老年人规定》，认真贯彻执行党和国家有关老龄工作的方针和规划，积极协调各级政府老龄工作；负责全县老年工作的宏观指导和综合管理，做好维护老年人合法权益工作；负责组织实施州党委有关人口老龄化的调查研究工作，负责研究、解决老年人的各种实际问题；实施80周岁以上老年人基本生活津贴发放制度。完成230万元高龄津贴发放。</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⑤2021年困难群众救助补助经费项目根据年初制定的目标要求，有计划、有步骤在进行工作，今年上半年在新冠肺炎疫情发生后，为及时高标准保障困难群众生活，于2020年11月30日前发放全年城乡低保金3091万元。</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⑥2021年困难群众救助补助经费项目完成根据年初制定的目标要求，有计划、有步骤在进行工作，今年上半年在新冠肺炎疫情发生后，为及时高标准保障困难群众生活，于2020年11月30日前发放全年城乡低保金2363万元。</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⑦2021年困难群众救助补助经费项目，完成按照时间节点切实保障特困人员、孤儿、城乡最低生活保障人员及临时生活困难群众的生活需求，及提升机构护理人员提高护理水平，满足特困对象、孤儿的照料、康复、护理需求，提高特困对象、孤儿的幸福感和获得感，发放164万元。</w:t>
      </w:r>
    </w:p>
    <w:p>
      <w:pPr>
        <w:spacing w:line="560" w:lineRule="exact"/>
        <w:ind w:firstLine="544" w:firstLineChars="200"/>
        <w:rPr>
          <w:rStyle w:val="17"/>
          <w:rFonts w:ascii="仿宋_GB2312" w:hAnsi="楷体" w:eastAsia="仿宋_GB2312"/>
          <w:b w:val="0"/>
          <w:spacing w:val="-4"/>
          <w:sz w:val="28"/>
          <w:szCs w:val="28"/>
        </w:rPr>
      </w:pPr>
    </w:p>
    <w:p>
      <w:pPr>
        <w:pStyle w:val="6"/>
        <w:numPr>
          <w:ilvl w:val="0"/>
          <w:numId w:val="0"/>
        </w:numPr>
        <w:spacing w:line="560" w:lineRule="exact"/>
        <w:ind w:left="562" w:leftChars="0"/>
        <w:rPr>
          <w:rStyle w:val="17"/>
          <w:rFonts w:ascii="仿宋" w:hAnsi="仿宋" w:eastAsia="仿宋"/>
          <w:b/>
          <w:bCs/>
        </w:rPr>
      </w:pPr>
      <w:r>
        <w:rPr>
          <w:rStyle w:val="17"/>
          <w:rFonts w:hint="eastAsia" w:ascii="仿宋" w:hAnsi="仿宋" w:eastAsia="仿宋"/>
          <w:b/>
          <w:bCs/>
          <w:lang w:eastAsia="zh-CN"/>
        </w:rPr>
        <w:t>（</w:t>
      </w:r>
      <w:r>
        <w:rPr>
          <w:rStyle w:val="17"/>
          <w:rFonts w:hint="eastAsia" w:ascii="仿宋" w:hAnsi="仿宋" w:eastAsia="仿宋"/>
          <w:b/>
          <w:bCs/>
          <w:lang w:val="en-US" w:eastAsia="zh-CN"/>
        </w:rPr>
        <w:t>六</w:t>
      </w:r>
      <w:r>
        <w:rPr>
          <w:rStyle w:val="17"/>
          <w:rFonts w:hint="eastAsia" w:ascii="仿宋" w:hAnsi="仿宋" w:eastAsia="仿宋"/>
          <w:b/>
          <w:bCs/>
          <w:lang w:eastAsia="zh-CN"/>
        </w:rPr>
        <w:t>）</w:t>
      </w:r>
      <w:r>
        <w:rPr>
          <w:rStyle w:val="17"/>
          <w:rFonts w:hint="eastAsia" w:ascii="仿宋" w:hAnsi="仿宋" w:eastAsia="仿宋"/>
          <w:b/>
          <w:bCs/>
        </w:rPr>
        <w:t>项目效益性分析</w:t>
      </w:r>
    </w:p>
    <w:p>
      <w:pPr>
        <w:spacing w:line="560" w:lineRule="exact"/>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lang w:val="en-US" w:eastAsia="zh-CN"/>
        </w:rPr>
        <w:t>7</w:t>
      </w:r>
      <w:r>
        <w:rPr>
          <w:rStyle w:val="17"/>
          <w:rFonts w:hint="eastAsia" w:ascii="仿宋_GB2312" w:hAnsi="楷体" w:eastAsia="仿宋_GB2312"/>
          <w:b w:val="0"/>
          <w:bCs w:val="0"/>
          <w:spacing w:val="-4"/>
          <w:sz w:val="28"/>
          <w:szCs w:val="28"/>
        </w:rPr>
        <w:t>个专项项目预期目标完成程度、实施对经济和社会的影响如下：</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1、高龄老人基本生活津贴项目发放高龄津贴64万元，社会效益指标中高龄老人的生活水平一定程度上提高，高龄老人满意度达到100%。</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2、社会福利事业（福彩圆梦·孤儿助学）专项补助项目发放13万元，社会效益指标中救助对象的基本生活有效保障。</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3、残疾人事业发展补助资金项目，发放400万元，社会效益指标中保障残疾人员生活质量效果显著。</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4、特克斯县2021年高龄老人基本生活津贴资金项目中，发放230万元，社会效益中老年优待政策普及率达到100%。</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5、2021年困难群众救助补助经费项目发放3091万元，社会效益指标中提高社会救助水平，保障救助对象的基本生活效果良好，保障弱势群体合法权益，促进社会和谐发展效果显著。</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6、2021年困难群众救助补助经费项目发放2363万元，社会效益中提高社会救助水平，保障救助对象的基本生活效果良好，保障弱势群体合法权益，促进社会和谐发展显著效果。</w:t>
      </w:r>
    </w:p>
    <w:p>
      <w:pPr>
        <w:spacing w:line="560" w:lineRule="exact"/>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7、2021年困难群众救助补助经费项目发放164万元，社会效益中提高孤儿基本生活使孤儿健康成长明显改善，特困群体的基本生活水平有所提高明显改善。</w:t>
      </w:r>
    </w:p>
    <w:p>
      <w:pPr>
        <w:spacing w:line="560" w:lineRule="exact"/>
      </w:pPr>
    </w:p>
    <w:p>
      <w:pPr>
        <w:pStyle w:val="4"/>
        <w:spacing w:line="560" w:lineRule="exact"/>
        <w:rPr>
          <w:rFonts w:ascii="仿宋" w:hAnsi="仿宋" w:eastAsia="仿宋"/>
          <w:sz w:val="36"/>
          <w:szCs w:val="36"/>
        </w:rPr>
      </w:pPr>
      <w:bookmarkStart w:id="24" w:name="_Toc70450310"/>
      <w:r>
        <w:rPr>
          <w:rFonts w:hint="eastAsia" w:ascii="仿宋" w:hAnsi="仿宋" w:eastAsia="仿宋"/>
          <w:sz w:val="36"/>
          <w:szCs w:val="36"/>
        </w:rPr>
        <w:t>四、资产管理情况</w:t>
      </w:r>
      <w:bookmarkEnd w:id="24"/>
    </w:p>
    <w:p>
      <w:pPr>
        <w:pStyle w:val="5"/>
        <w:spacing w:line="560" w:lineRule="exact"/>
        <w:rPr>
          <w:rStyle w:val="17"/>
          <w:rFonts w:ascii="仿宋" w:hAnsi="仿宋" w:eastAsia="仿宋"/>
          <w:b/>
          <w:bCs/>
        </w:rPr>
      </w:pPr>
      <w:bookmarkStart w:id="25" w:name="_Toc70450311"/>
      <w:r>
        <w:rPr>
          <w:rStyle w:val="17"/>
          <w:rFonts w:hint="eastAsia" w:ascii="仿宋" w:hAnsi="仿宋" w:eastAsia="仿宋"/>
          <w:b/>
          <w:bCs/>
        </w:rPr>
        <w:t>（一）资产配置情况</w:t>
      </w:r>
      <w:bookmarkEnd w:id="25"/>
    </w:p>
    <w:p>
      <w:pPr>
        <w:spacing w:line="560" w:lineRule="exac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资产总</w:t>
      </w:r>
      <w:r>
        <w:rPr>
          <w:rStyle w:val="17"/>
          <w:rFonts w:hint="eastAsia" w:ascii="仿宋_GB2312" w:hAnsi="楷体" w:eastAsia="仿宋_GB2312" w:cs="Times New Roman"/>
          <w:b w:val="0"/>
          <w:spacing w:val="-4"/>
          <w:sz w:val="28"/>
          <w:szCs w:val="28"/>
        </w:rPr>
        <w:t>额5477.91万</w:t>
      </w:r>
      <w:r>
        <w:rPr>
          <w:rStyle w:val="17"/>
          <w:rFonts w:hint="eastAsia" w:ascii="仿宋_GB2312" w:hAnsi="宋体" w:eastAsia="仿宋_GB2312"/>
          <w:b w:val="0"/>
          <w:bCs w:val="0"/>
          <w:spacing w:val="-4"/>
          <w:sz w:val="28"/>
          <w:szCs w:val="28"/>
        </w:rPr>
        <w:t>元，其中流动资产万元0万元，固定资产净值5477.91万元（其中：土地、房屋及构筑物5244.04万元，占固定资产净值的95.73%；通用设备44.64万元，占固定资产净值的0.81%；专用设备2.56万元，占固定资产净值的0.05%；家具、用具、装具及动植物186.67万元，占固定资产净值的3.41%）。</w:t>
      </w:r>
    </w:p>
    <w:p>
      <w:pPr>
        <w:spacing w:line="560" w:lineRule="exac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本年度流动资产0万元，比上年增加0万元，原因是：</w:t>
      </w:r>
      <w:r>
        <w:rPr>
          <w:rStyle w:val="17"/>
          <w:rFonts w:hint="eastAsia" w:ascii="仿宋_GB2312" w:hAnsi="宋体" w:eastAsia="仿宋_GB2312"/>
          <w:b w:val="0"/>
          <w:bCs w:val="0"/>
          <w:spacing w:val="-4"/>
          <w:sz w:val="28"/>
          <w:szCs w:val="28"/>
          <w:lang w:val="en-US" w:eastAsia="zh-CN"/>
        </w:rPr>
        <w:t>无</w:t>
      </w:r>
      <w:r>
        <w:rPr>
          <w:rStyle w:val="17"/>
          <w:rFonts w:hint="eastAsia" w:ascii="仿宋_GB2312" w:hAnsi="宋体" w:eastAsia="仿宋_GB2312"/>
          <w:b w:val="0"/>
          <w:bCs w:val="0"/>
          <w:spacing w:val="-4"/>
          <w:sz w:val="28"/>
          <w:szCs w:val="28"/>
        </w:rPr>
        <w:t>。</w:t>
      </w:r>
    </w:p>
    <w:p>
      <w:pPr>
        <w:spacing w:line="560" w:lineRule="exac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本年度固定资产5477.91万元，比上年增加2154.53万元，原因是：在建工程“双集中”建设项目和吾尔塔米斯儿童之家建设项目竣工决算转固定资产。</w:t>
      </w:r>
    </w:p>
    <w:p>
      <w:pPr>
        <w:snapToGrid w:val="0"/>
        <w:spacing w:line="560" w:lineRule="exact"/>
        <w:ind w:firstLine="544" w:firstLineChars="200"/>
        <w:rPr>
          <w:rStyle w:val="17"/>
          <w:rFonts w:ascii="宋体" w:hAnsi="宋体" w:eastAsia="宋体"/>
          <w:bCs w:val="0"/>
          <w:spacing w:val="-4"/>
          <w:sz w:val="28"/>
          <w:szCs w:val="28"/>
        </w:rPr>
      </w:pPr>
      <w:r>
        <w:rPr>
          <w:rStyle w:val="17"/>
          <w:rFonts w:hint="eastAsia" w:ascii="仿宋_GB2312" w:hAnsi="宋体" w:eastAsia="仿宋_GB2312"/>
          <w:b w:val="0"/>
          <w:bCs w:val="0"/>
          <w:spacing w:val="-4"/>
          <w:sz w:val="28"/>
          <w:szCs w:val="28"/>
        </w:rPr>
        <w:t>实际在用固定资产5477.91万元，固定资产利用率100%。</w:t>
      </w:r>
    </w:p>
    <w:p>
      <w:pPr>
        <w:pStyle w:val="5"/>
        <w:spacing w:line="560" w:lineRule="exact"/>
        <w:rPr>
          <w:rStyle w:val="17"/>
          <w:rFonts w:ascii="仿宋" w:hAnsi="仿宋" w:eastAsia="仿宋"/>
          <w:b/>
          <w:bCs/>
        </w:rPr>
      </w:pPr>
      <w:bookmarkStart w:id="26" w:name="_Toc70450312"/>
      <w:r>
        <w:rPr>
          <w:rStyle w:val="17"/>
          <w:rFonts w:hint="eastAsia" w:ascii="仿宋" w:hAnsi="仿宋" w:eastAsia="仿宋"/>
          <w:b/>
          <w:bCs/>
        </w:rPr>
        <w:t>（二）资产管理情况</w:t>
      </w:r>
      <w:bookmarkEnd w:id="26"/>
    </w:p>
    <w:p>
      <w:pPr>
        <w:spacing w:line="560" w:lineRule="exac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560" w:lineRule="exac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560" w:lineRule="exact"/>
        <w:ind w:firstLine="544" w:firstLineChars="200"/>
        <w:rPr>
          <w:rStyle w:val="17"/>
          <w:rFonts w:ascii="仿宋_GB2312" w:hAnsi="宋体" w:eastAsia="仿宋_GB2312"/>
          <w:b w:val="0"/>
          <w:spacing w:val="-4"/>
          <w:sz w:val="28"/>
          <w:szCs w:val="28"/>
        </w:rPr>
      </w:pPr>
    </w:p>
    <w:p>
      <w:pPr>
        <w:pStyle w:val="4"/>
        <w:spacing w:line="560" w:lineRule="exact"/>
        <w:rPr>
          <w:rFonts w:ascii="仿宋" w:hAnsi="仿宋" w:eastAsia="仿宋"/>
          <w:sz w:val="36"/>
          <w:szCs w:val="36"/>
        </w:rPr>
      </w:pPr>
      <w:bookmarkStart w:id="27" w:name="_Toc70450313"/>
      <w:r>
        <w:rPr>
          <w:rFonts w:hint="eastAsia" w:ascii="仿宋" w:hAnsi="仿宋" w:eastAsia="仿宋"/>
          <w:sz w:val="36"/>
          <w:szCs w:val="36"/>
        </w:rPr>
        <w:t>五、部门单位整体支出绩效情况</w:t>
      </w:r>
      <w:bookmarkEnd w:id="27"/>
    </w:p>
    <w:p>
      <w:pPr>
        <w:pStyle w:val="5"/>
        <w:spacing w:line="560" w:lineRule="exact"/>
        <w:ind w:firstLine="643" w:firstLineChars="200"/>
        <w:rPr>
          <w:rStyle w:val="17"/>
          <w:rFonts w:ascii="仿宋" w:hAnsi="仿宋" w:eastAsia="仿宋"/>
          <w:b/>
          <w:bCs/>
        </w:rPr>
      </w:pPr>
      <w:bookmarkStart w:id="28" w:name="_Toc70450314"/>
      <w:r>
        <w:rPr>
          <w:rStyle w:val="17"/>
          <w:rFonts w:hint="eastAsia" w:ascii="仿宋" w:hAnsi="仿宋" w:eastAsia="仿宋"/>
          <w:b/>
          <w:bCs/>
        </w:rPr>
        <w:t>（一）经济效益评价</w:t>
      </w:r>
      <w:bookmarkEnd w:id="28"/>
    </w:p>
    <w:p>
      <w:pPr>
        <w:spacing w:line="560" w:lineRule="exact"/>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2021年度我单位年初预算安排</w:t>
      </w:r>
      <w:r>
        <w:rPr>
          <w:rStyle w:val="17"/>
          <w:rFonts w:hint="eastAsia" w:ascii="仿宋_GB2312" w:hAnsi="宋体" w:eastAsia="仿宋_GB2312"/>
          <w:b w:val="0"/>
          <w:bCs w:val="0"/>
          <w:spacing w:val="-4"/>
          <w:sz w:val="28"/>
          <w:szCs w:val="28"/>
          <w:highlight w:val="none"/>
          <w:lang w:val="en-US" w:eastAsia="zh-CN"/>
        </w:rPr>
        <w:t>1248.75</w:t>
      </w:r>
      <w:r>
        <w:rPr>
          <w:rStyle w:val="17"/>
          <w:rFonts w:hint="eastAsia" w:ascii="仿宋_GB2312" w:hAnsi="宋体" w:eastAsia="仿宋_GB2312"/>
          <w:b w:val="0"/>
          <w:bCs w:val="0"/>
          <w:spacing w:val="-4"/>
          <w:sz w:val="28"/>
          <w:szCs w:val="28"/>
          <w:highlight w:val="none"/>
        </w:rPr>
        <w:t>万元，年中调整</w:t>
      </w:r>
      <w:r>
        <w:rPr>
          <w:rStyle w:val="17"/>
          <w:rFonts w:hint="eastAsia" w:ascii="仿宋_GB2312" w:hAnsi="楷体" w:eastAsia="仿宋_GB2312"/>
          <w:b w:val="0"/>
          <w:color w:val="auto"/>
          <w:spacing w:val="-4"/>
          <w:sz w:val="28"/>
          <w:szCs w:val="28"/>
          <w:highlight w:val="none"/>
          <w:lang w:val="en-US" w:eastAsia="zh-CN"/>
        </w:rPr>
        <w:t>6070.35</w:t>
      </w:r>
      <w:r>
        <w:rPr>
          <w:rStyle w:val="17"/>
          <w:rFonts w:hint="eastAsia" w:ascii="仿宋_GB2312" w:hAnsi="宋体" w:eastAsia="仿宋_GB2312"/>
          <w:b w:val="0"/>
          <w:bCs w:val="0"/>
          <w:spacing w:val="-4"/>
          <w:sz w:val="28"/>
          <w:szCs w:val="28"/>
          <w:highlight w:val="none"/>
        </w:rPr>
        <w:t>万元，截止12月底支出</w:t>
      </w:r>
      <w:r>
        <w:rPr>
          <w:rStyle w:val="17"/>
          <w:rFonts w:hint="eastAsia" w:ascii="仿宋_GB2312" w:hAnsi="楷体" w:eastAsia="仿宋_GB2312"/>
          <w:b w:val="0"/>
          <w:spacing w:val="-4"/>
          <w:sz w:val="28"/>
          <w:szCs w:val="28"/>
          <w:highlight w:val="none"/>
          <w:lang w:val="en-US" w:eastAsia="zh-CN"/>
        </w:rPr>
        <w:t>7319.10</w:t>
      </w:r>
      <w:r>
        <w:rPr>
          <w:rStyle w:val="17"/>
          <w:rFonts w:hint="eastAsia" w:ascii="仿宋_GB2312" w:hAnsi="宋体" w:eastAsia="仿宋_GB2312"/>
          <w:b w:val="0"/>
          <w:bCs w:val="0"/>
          <w:spacing w:val="-4"/>
          <w:sz w:val="28"/>
          <w:szCs w:val="28"/>
          <w:highlight w:val="none"/>
        </w:rPr>
        <w:t>万元，执行率100%。</w:t>
      </w:r>
    </w:p>
    <w:p>
      <w:pPr>
        <w:spacing w:line="560" w:lineRule="exact"/>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highlight w:val="none"/>
        </w:rPr>
        <w:t>1</w:t>
      </w:r>
      <w:r>
        <w:rPr>
          <w:rStyle w:val="17"/>
          <w:rFonts w:hint="eastAsia" w:ascii="仿宋_GB2312" w:hAnsi="宋体" w:eastAsia="仿宋_GB2312"/>
          <w:b w:val="0"/>
          <w:bCs w:val="0"/>
          <w:spacing w:val="-4"/>
          <w:sz w:val="28"/>
          <w:szCs w:val="28"/>
          <w:highlight w:val="none"/>
        </w:rPr>
        <w:t>、预算资金执行过程中均按照年初预算分配情况</w:t>
      </w:r>
      <w:r>
        <w:rPr>
          <w:rStyle w:val="17"/>
          <w:rFonts w:hint="eastAsia" w:ascii="仿宋_GB2312" w:hAnsi="宋体" w:eastAsia="仿宋_GB2312"/>
          <w:b w:val="0"/>
          <w:bCs w:val="0"/>
          <w:spacing w:val="-4"/>
          <w:sz w:val="28"/>
          <w:szCs w:val="28"/>
        </w:rPr>
        <w:t>均做到专款专用，未出现资金侵、挪占情况。</w:t>
      </w:r>
    </w:p>
    <w:p>
      <w:pPr>
        <w:spacing w:line="560" w:lineRule="exact"/>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5"/>
        <w:spacing w:line="560" w:lineRule="exact"/>
        <w:ind w:firstLine="643" w:firstLineChars="200"/>
        <w:rPr>
          <w:rStyle w:val="17"/>
          <w:rFonts w:ascii="仿宋" w:hAnsi="仿宋" w:eastAsia="仿宋"/>
          <w:b/>
          <w:bCs/>
        </w:rPr>
      </w:pPr>
      <w:bookmarkStart w:id="29" w:name="_Toc70450315"/>
      <w:r>
        <w:rPr>
          <w:rStyle w:val="17"/>
          <w:rFonts w:hint="eastAsia" w:ascii="仿宋" w:hAnsi="仿宋" w:eastAsia="仿宋"/>
          <w:b/>
          <w:bCs/>
        </w:rPr>
        <w:t>（二）效率性评价</w:t>
      </w:r>
      <w:bookmarkEnd w:id="29"/>
    </w:p>
    <w:p>
      <w:pPr>
        <w:spacing w:line="560" w:lineRule="exac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2021年，在县委政府的大力支持和党委的正确领导下，我单位迎难而上、务实重干，积极推动民政事业的工作取得了新的进展，为促进经济持续健康发展与社会和谐稳定提供了有力的经济支撑和保障。</w:t>
      </w:r>
    </w:p>
    <w:p>
      <w:pPr>
        <w:numPr>
          <w:ilvl w:val="0"/>
          <w:numId w:val="4"/>
        </w:num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圆满完成困难群众救助补助资金发放工作</w:t>
      </w:r>
    </w:p>
    <w:p>
      <w:pPr>
        <w:numPr>
          <w:ilvl w:val="0"/>
          <w:numId w:val="0"/>
        </w:num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依据《社会救助暂行办法》（国务院令第649号）和财政部、民政部制定了《中央财政困难群众基本生活救助补助资金管理办法》。1、保障城乡低保对象基本生活；2、特困人员救助供养城乡统筹；3、临时救助及时高效，救急解难；4、为生活无着流动人员提供监护责任，协助其及时返乡并做好回归稳固工作；5、对流浪未成年人发行临时监护责任，维护其身心健康，帮助其顺利回归家庭，并做好源头预防工作；6、保障孤儿基本生活，促进其成长，使其生活得更有尊严，更好的融入福利。使得达到社会效益提升老年人生活质量有效提升，弱势群体关爱体系有效健全，有效保障困难群众救助工作有序推进。</w:t>
      </w:r>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2、城乡低保等补贴发放任务提前完成</w:t>
      </w:r>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社会救助水平不断提高。按照以“户为单位、分类施保、差额补助”的原则，切实做到了“应保尽保、应退尽退”。一是精准低保发放工作。经过一年的入户走访、抽查和自治区推送疑点信息等途径，低保人数从年初的1.2万人减少到1.07万人，截止目前，新系统最低生活保障农村低保5167户8126人，城市低保1769户2651人，；三是加强特困人员供养救助。我县特困供养人员165人（其中：集中供养160人，分散供养5人）累计发放五保供养资金180.56万元；四是加大家庭困难人员临时救助。根据自治区出台《关于进一步加强和改进临时救助工作的实施意见》等政策，今年为全县15665人发放临时救助金460万元，分别在教育、医疗等方面发挥了应急救助作用；五是增强政府购买力。根据伊犁州民政局、编办、财政局、人力资源社会保障局《关于印发&lt;推行政府购买服务 加强基层社会救助经办服务能力的实施方案&gt;》（伊州民发【2019】36号），切实推进政府购买社会救助服务，健全完善民政协理员制度，加强基层社会救助经办服务能力，我局特制定实施方案并已通知各乡镇上报需求人数，已初步制定招录计划。</w:t>
      </w:r>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3、高龄津贴发放成效显著</w:t>
      </w:r>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我县是伊犁州高龄津贴发放额度最高的县，80-89周岁老人发放150元/人/月发放，90-99周岁老人按照300元/人/月发放，100周岁以上按照600元/元/月发放。老年福利2081002（高龄老人基本生活津贴）2081002根据新疆维吾尔自治区人民政府办公厅新政办发【2012】34号文件关于印发自治区老龄事业发展“十二五”规划的通知，新党办发【2011】31号自治区党委办公厅自治区人民政府办公厅关于印发《80周年以上老年人基本生活津贴制度》《80周年以上老年人免费体检制度》的通知，我县2020年开始执行翻三倍的福利，并足额发放。</w:t>
      </w:r>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lang w:val="en-US" w:eastAsia="zh-CN"/>
        </w:rPr>
        <w:t>4、</w:t>
      </w:r>
      <w:r>
        <w:rPr>
          <w:rStyle w:val="17"/>
          <w:rFonts w:hint="eastAsia" w:ascii="仿宋_GB2312" w:hAnsi="宋体" w:eastAsia="仿宋_GB2312" w:cs="Times New Roman"/>
          <w:b w:val="0"/>
          <w:bCs w:val="0"/>
          <w:spacing w:val="-4"/>
          <w:sz w:val="28"/>
          <w:szCs w:val="28"/>
        </w:rPr>
        <w:t>绩效指标全面达标，群众满意度高，有效提升老年人生活质量，持续健全弱势群体关爱体系，有效保障困难群众救助工作有序推进，使得在职职工满意度达到98%以上，退休人员满意度达到98%以上，高龄老人满意度达到95%以上，残疾人满意度达到95%以上。</w:t>
      </w:r>
    </w:p>
    <w:p>
      <w:pPr>
        <w:pStyle w:val="5"/>
        <w:spacing w:line="560" w:lineRule="exact"/>
        <w:ind w:firstLine="643" w:firstLineChars="200"/>
        <w:rPr>
          <w:rStyle w:val="17"/>
          <w:rFonts w:ascii="仿宋" w:hAnsi="仿宋" w:eastAsia="仿宋"/>
          <w:b/>
          <w:bCs/>
        </w:rPr>
      </w:pPr>
      <w:bookmarkStart w:id="30" w:name="_Toc70450316"/>
      <w:r>
        <w:rPr>
          <w:rStyle w:val="17"/>
          <w:rFonts w:hint="eastAsia" w:ascii="仿宋" w:hAnsi="仿宋" w:eastAsia="仿宋"/>
          <w:b/>
          <w:bCs/>
        </w:rPr>
        <w:t>（三）有效性评价</w:t>
      </w:r>
      <w:bookmarkEnd w:id="30"/>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2021年部门支出的有效性主要体现在我单位各项工作成效上，一是救助能力进一步夯实，扎实救助对象享受条件，使得各项民政政策更有成效，二是救助能力、资金保证能力能力进一步提升，与财政部门打通沟通壁垒，切身处地的为困难群众谋福利，三是救助方式方法，进一步改善，减少重复性的审核程序，将有些程序下放到各乡镇场，局履行监督职责，使更了解村情民情的村、社区、本级单位进行资质审核，民政局进行季度检查等，四是民政保障水平进一步提高，五是民政工作进一步推进，七是民政事务治理水平进一步增强，详细情况如下：</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特克斯县民政局部门单位整体绩效目标共设置一级指标  3 个，二级指标 7个，三级指标 27个，详细说明如下</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1、数量指标：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指标1：保障在职人员人数，指标值：&gt;=32人，实际完成值：3</w:t>
      </w:r>
      <w:r>
        <w:rPr>
          <w:rStyle w:val="17"/>
          <w:rFonts w:hint="eastAsia" w:ascii="仿宋_GB2312" w:hAnsi="宋体" w:eastAsia="仿宋_GB2312" w:cs="Times New Roman"/>
          <w:b w:val="0"/>
          <w:bCs w:val="0"/>
          <w:spacing w:val="-4"/>
          <w:sz w:val="28"/>
          <w:szCs w:val="28"/>
          <w:highlight w:val="none"/>
          <w:lang w:val="en-US" w:eastAsia="zh-CN"/>
        </w:rPr>
        <w:t>2</w:t>
      </w:r>
      <w:r>
        <w:rPr>
          <w:rStyle w:val="17"/>
          <w:rFonts w:hint="eastAsia" w:ascii="仿宋_GB2312" w:hAnsi="宋体" w:eastAsia="仿宋_GB2312" w:cs="Times New Roman"/>
          <w:b w:val="0"/>
          <w:bCs w:val="0"/>
          <w:spacing w:val="-4"/>
          <w:sz w:val="28"/>
          <w:szCs w:val="28"/>
          <w:highlight w:val="none"/>
        </w:rPr>
        <w:t>人，指标完成率100%</w:t>
      </w:r>
      <w:r>
        <w:rPr>
          <w:rStyle w:val="17"/>
          <w:rFonts w:hint="eastAsia" w:ascii="仿宋_GB2312" w:hAnsi="宋体" w:eastAsia="仿宋_GB2312" w:cs="Times New Roman"/>
          <w:b w:val="0"/>
          <w:bCs w:val="0"/>
          <w:spacing w:val="-4"/>
          <w:sz w:val="28"/>
          <w:szCs w:val="28"/>
          <w:highlight w:val="none"/>
          <w:lang w:eastAsia="zh-CN"/>
        </w:rPr>
        <w:t>；</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指标2：80-89岁的高龄老人，指标值：&gt;=950人，实际完成值：</w:t>
      </w:r>
      <w:r>
        <w:rPr>
          <w:rStyle w:val="17"/>
          <w:rFonts w:hint="eastAsia" w:ascii="仿宋_GB2312" w:hAnsi="宋体" w:eastAsia="仿宋_GB2312" w:cs="Times New Roman"/>
          <w:b w:val="0"/>
          <w:bCs w:val="0"/>
          <w:spacing w:val="-4"/>
          <w:sz w:val="28"/>
          <w:szCs w:val="28"/>
          <w:highlight w:val="none"/>
          <w:lang w:val="en-US" w:eastAsia="zh-CN"/>
        </w:rPr>
        <w:t>950</w:t>
      </w:r>
      <w:r>
        <w:rPr>
          <w:rStyle w:val="17"/>
          <w:rFonts w:hint="eastAsia" w:ascii="仿宋_GB2312" w:hAnsi="宋体" w:eastAsia="仿宋_GB2312" w:cs="Times New Roman"/>
          <w:b w:val="0"/>
          <w:bCs w:val="0"/>
          <w:spacing w:val="-4"/>
          <w:sz w:val="28"/>
          <w:szCs w:val="28"/>
          <w:highlight w:val="none"/>
        </w:rPr>
        <w:t>人 ，指标完成率100%</w:t>
      </w:r>
      <w:r>
        <w:rPr>
          <w:rStyle w:val="17"/>
          <w:rFonts w:hint="eastAsia" w:ascii="仿宋_GB2312" w:hAnsi="宋体" w:eastAsia="仿宋_GB2312" w:cs="Times New Roman"/>
          <w:b w:val="0"/>
          <w:bCs w:val="0"/>
          <w:spacing w:val="-4"/>
          <w:sz w:val="28"/>
          <w:szCs w:val="28"/>
          <w:highlight w:val="none"/>
          <w:lang w:eastAsia="zh-CN"/>
        </w:rPr>
        <w:t>；</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指标3：90-99岁的高龄老人，指标值：&gt;=130人，实际完成值：</w:t>
      </w:r>
      <w:r>
        <w:rPr>
          <w:rStyle w:val="17"/>
          <w:rFonts w:hint="eastAsia" w:ascii="仿宋_GB2312" w:hAnsi="宋体" w:eastAsia="仿宋_GB2312" w:cs="Times New Roman"/>
          <w:b w:val="0"/>
          <w:bCs w:val="0"/>
          <w:spacing w:val="-4"/>
          <w:sz w:val="28"/>
          <w:szCs w:val="28"/>
          <w:highlight w:val="none"/>
          <w:lang w:val="en-US" w:eastAsia="zh-CN"/>
        </w:rPr>
        <w:t>130</w:t>
      </w:r>
      <w:r>
        <w:rPr>
          <w:rStyle w:val="17"/>
          <w:rFonts w:hint="eastAsia" w:ascii="仿宋_GB2312" w:hAnsi="宋体" w:eastAsia="仿宋_GB2312" w:cs="Times New Roman"/>
          <w:b w:val="0"/>
          <w:bCs w:val="0"/>
          <w:spacing w:val="-4"/>
          <w:sz w:val="28"/>
          <w:szCs w:val="28"/>
          <w:highlight w:val="none"/>
        </w:rPr>
        <w:t>人 ，指标完成率100%</w:t>
      </w:r>
      <w:r>
        <w:rPr>
          <w:rStyle w:val="17"/>
          <w:rFonts w:hint="eastAsia" w:ascii="仿宋_GB2312" w:hAnsi="宋体" w:eastAsia="仿宋_GB2312" w:cs="Times New Roman"/>
          <w:b w:val="0"/>
          <w:bCs w:val="0"/>
          <w:spacing w:val="-4"/>
          <w:sz w:val="28"/>
          <w:szCs w:val="28"/>
          <w:highlight w:val="none"/>
          <w:lang w:eastAsia="zh-CN"/>
        </w:rPr>
        <w:t>；</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指标4：100岁以上的高龄老人，指标值：&gt;=4人，实际完成值：</w:t>
      </w:r>
      <w:r>
        <w:rPr>
          <w:rStyle w:val="17"/>
          <w:rFonts w:hint="eastAsia" w:ascii="仿宋_GB2312" w:hAnsi="宋体" w:eastAsia="仿宋_GB2312" w:cs="Times New Roman"/>
          <w:b w:val="0"/>
          <w:bCs w:val="0"/>
          <w:spacing w:val="-4"/>
          <w:sz w:val="28"/>
          <w:szCs w:val="28"/>
          <w:highlight w:val="none"/>
          <w:lang w:val="en-US" w:eastAsia="zh-CN"/>
        </w:rPr>
        <w:t>4</w:t>
      </w:r>
      <w:r>
        <w:rPr>
          <w:rStyle w:val="17"/>
          <w:rFonts w:hint="eastAsia" w:ascii="仿宋_GB2312" w:hAnsi="宋体" w:eastAsia="仿宋_GB2312" w:cs="Times New Roman"/>
          <w:b w:val="0"/>
          <w:bCs w:val="0"/>
          <w:spacing w:val="-4"/>
          <w:sz w:val="28"/>
          <w:szCs w:val="28"/>
          <w:highlight w:val="none"/>
        </w:rPr>
        <w:t>人 ，指标完成率100%</w:t>
      </w:r>
      <w:r>
        <w:rPr>
          <w:rStyle w:val="17"/>
          <w:rFonts w:hint="eastAsia" w:ascii="仿宋_GB2312" w:hAnsi="宋体" w:eastAsia="仿宋_GB2312" w:cs="Times New Roman"/>
          <w:b w:val="0"/>
          <w:bCs w:val="0"/>
          <w:spacing w:val="-4"/>
          <w:sz w:val="28"/>
          <w:szCs w:val="28"/>
          <w:highlight w:val="none"/>
          <w:lang w:eastAsia="zh-CN"/>
        </w:rPr>
        <w:t>；</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指标5：残疾人享受护理补贴人数，指标值：&gt;=1528人，实际完成值：</w:t>
      </w:r>
      <w:r>
        <w:rPr>
          <w:rStyle w:val="17"/>
          <w:rFonts w:hint="eastAsia" w:ascii="仿宋_GB2312" w:hAnsi="宋体" w:eastAsia="仿宋_GB2312" w:cs="Times New Roman"/>
          <w:b w:val="0"/>
          <w:bCs w:val="0"/>
          <w:spacing w:val="-4"/>
          <w:sz w:val="28"/>
          <w:szCs w:val="28"/>
          <w:highlight w:val="none"/>
          <w:lang w:val="en-US" w:eastAsia="zh-CN"/>
        </w:rPr>
        <w:t>1528</w:t>
      </w:r>
      <w:r>
        <w:rPr>
          <w:rStyle w:val="17"/>
          <w:rFonts w:hint="eastAsia" w:ascii="仿宋_GB2312" w:hAnsi="宋体" w:eastAsia="仿宋_GB2312" w:cs="Times New Roman"/>
          <w:b w:val="0"/>
          <w:bCs w:val="0"/>
          <w:spacing w:val="-4"/>
          <w:sz w:val="28"/>
          <w:szCs w:val="28"/>
          <w:highlight w:val="none"/>
        </w:rPr>
        <w:t>人 ，指标完成率100%</w:t>
      </w:r>
      <w:r>
        <w:rPr>
          <w:rStyle w:val="17"/>
          <w:rFonts w:hint="eastAsia" w:ascii="仿宋_GB2312" w:hAnsi="宋体" w:eastAsia="仿宋_GB2312" w:cs="Times New Roman"/>
          <w:b w:val="0"/>
          <w:bCs w:val="0"/>
          <w:spacing w:val="-4"/>
          <w:sz w:val="28"/>
          <w:szCs w:val="28"/>
          <w:highlight w:val="none"/>
          <w:lang w:eastAsia="zh-CN"/>
        </w:rPr>
        <w:t>；</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指标6：残疾人享受生活补贴人数，指标值：&gt;=1252人人，实际完成值：</w:t>
      </w:r>
      <w:r>
        <w:rPr>
          <w:rStyle w:val="17"/>
          <w:rFonts w:hint="eastAsia" w:ascii="仿宋_GB2312" w:hAnsi="宋体" w:eastAsia="仿宋_GB2312" w:cs="Times New Roman"/>
          <w:b w:val="0"/>
          <w:bCs w:val="0"/>
          <w:spacing w:val="-4"/>
          <w:sz w:val="28"/>
          <w:szCs w:val="28"/>
          <w:highlight w:val="none"/>
          <w:lang w:val="en-US" w:eastAsia="zh-CN"/>
        </w:rPr>
        <w:t>1252</w:t>
      </w:r>
      <w:r>
        <w:rPr>
          <w:rStyle w:val="17"/>
          <w:rFonts w:hint="eastAsia" w:ascii="仿宋_GB2312" w:hAnsi="宋体" w:eastAsia="仿宋_GB2312" w:cs="Times New Roman"/>
          <w:b w:val="0"/>
          <w:bCs w:val="0"/>
          <w:spacing w:val="-4"/>
          <w:sz w:val="28"/>
          <w:szCs w:val="28"/>
          <w:highlight w:val="none"/>
        </w:rPr>
        <w:t>人 ，指标完成率100%</w:t>
      </w:r>
      <w:r>
        <w:rPr>
          <w:rStyle w:val="17"/>
          <w:rFonts w:hint="eastAsia" w:ascii="仿宋_GB2312" w:hAnsi="宋体" w:eastAsia="仿宋_GB2312" w:cs="Times New Roman"/>
          <w:b w:val="0"/>
          <w:bCs w:val="0"/>
          <w:spacing w:val="-4"/>
          <w:sz w:val="28"/>
          <w:szCs w:val="28"/>
          <w:highlight w:val="none"/>
          <w:lang w:eastAsia="zh-CN"/>
        </w:rPr>
        <w:t>；</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2、质量指标：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指标1：日常工作正常运转率 ，指标值：&gt;=98%，实际完成值：98% ，指标完成率100%；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指标2：离退休人员补助正常发放率，指标值：&gt;=98%，实际完成值：98%，指标完成率100%；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指标3：发放高龄老人补贴准确率，指标值：&gt;=98%，实际完成值：98%，指标完成率100%；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3、时效指标：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指标1：人员工资、福利及补助按时发放率，指标值：=100%，实际完成值：100% ，指标完成率100%；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指标2：发放离退休人员补助及时性 ，指标值：=100%，实际完成值：100%，指标完成率100%；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指标3：发放80岁以上高龄老人补贴及时性，指标值：=100%，实际完成值：100%，指标完成率100%；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指标4：发放残疾人两项补贴及时性，指标值：=100%，实际完成值：100%，指标完成率100%；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4、成本指标：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指标1：人均运转经费数，指标值：&lt;=0.32万元/人，实际完成值：</w:t>
      </w:r>
      <w:r>
        <w:rPr>
          <w:rStyle w:val="17"/>
          <w:rFonts w:hint="eastAsia" w:ascii="仿宋_GB2312" w:hAnsi="宋体" w:eastAsia="仿宋_GB2312" w:cs="Times New Roman"/>
          <w:b w:val="0"/>
          <w:bCs w:val="0"/>
          <w:spacing w:val="-4"/>
          <w:sz w:val="28"/>
          <w:szCs w:val="28"/>
          <w:highlight w:val="none"/>
          <w:lang w:val="en-US" w:eastAsia="zh-CN"/>
        </w:rPr>
        <w:t>0.32万</w:t>
      </w:r>
      <w:r>
        <w:rPr>
          <w:rStyle w:val="17"/>
          <w:rFonts w:hint="eastAsia" w:ascii="仿宋_GB2312" w:hAnsi="宋体" w:eastAsia="仿宋_GB2312" w:cs="Times New Roman"/>
          <w:b w:val="0"/>
          <w:bCs w:val="0"/>
          <w:spacing w:val="-4"/>
          <w:sz w:val="28"/>
          <w:szCs w:val="28"/>
          <w:highlight w:val="none"/>
        </w:rPr>
        <w:t>元/人，指标完成率100%；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指标2：80-89岁的高龄老人补贴标准，指标值：171万元/年，实际完成值：171万元/年，指标完成率100%；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指标3：90-99岁的高龄老人补贴标准，指标值：56.16万元/年，实际完成值：56.16万元/年，指标完成率100%；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指标4：100岁以上高龄老人补贴标准，指标值：2.88万元/年，实际完成值：2.88万元/年 ，指标完成率100%；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指标5： 残疾人享受护理补贴标准，指标值： 220万元/年，实际完成值：220万元/年，指标完成率100%；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指标6：残疾人享受生活补贴标准，指标值：180万元/年，实际完成值：180万元/年，指标完成率100%；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指标7：工资福利及补助人均支出，指标值：&lt;=9.65万元/人，实际完成值：9.65万元/人，指标完成率100%；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5、社会效益指标：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指标1：提升老年人生活质量，指标值：有效提升，实际完成值： 明显提升 ，指标完成率100%；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指标2： 健全弱势群体关爱体系，指标值：有效健全，实际完成值：有效健全，指标完成率100%；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6、可持续影响指标：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指标1：保障困难群众救助工作有序推进 ，指标值：有效保障，实际完成值：有效保障，指标完成率100%；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9、满意度指标：</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指标1：在职职工满意度，指标值：&gt;=98%，实际完成值：9</w:t>
      </w:r>
      <w:r>
        <w:rPr>
          <w:rStyle w:val="17"/>
          <w:rFonts w:hint="eastAsia" w:ascii="仿宋_GB2312" w:hAnsi="宋体" w:eastAsia="仿宋_GB2312" w:cs="Times New Roman"/>
          <w:b w:val="0"/>
          <w:bCs w:val="0"/>
          <w:spacing w:val="-4"/>
          <w:sz w:val="28"/>
          <w:szCs w:val="28"/>
          <w:highlight w:val="none"/>
          <w:lang w:val="en-US" w:eastAsia="zh-CN"/>
        </w:rPr>
        <w:t>8</w:t>
      </w:r>
      <w:r>
        <w:rPr>
          <w:rStyle w:val="17"/>
          <w:rFonts w:hint="eastAsia" w:ascii="仿宋_GB2312" w:hAnsi="宋体" w:eastAsia="仿宋_GB2312" w:cs="Times New Roman"/>
          <w:b w:val="0"/>
          <w:bCs w:val="0"/>
          <w:spacing w:val="-4"/>
          <w:sz w:val="28"/>
          <w:szCs w:val="28"/>
          <w:highlight w:val="none"/>
        </w:rPr>
        <w:t>% ，指标完成率100%；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指标2：退休人员满意度，指标值：&gt;=98%，实际完成值：9</w:t>
      </w:r>
      <w:r>
        <w:rPr>
          <w:rStyle w:val="17"/>
          <w:rFonts w:hint="eastAsia" w:ascii="仿宋_GB2312" w:hAnsi="宋体" w:eastAsia="仿宋_GB2312" w:cs="Times New Roman"/>
          <w:b w:val="0"/>
          <w:bCs w:val="0"/>
          <w:spacing w:val="-4"/>
          <w:sz w:val="28"/>
          <w:szCs w:val="28"/>
          <w:highlight w:val="none"/>
          <w:lang w:val="en-US" w:eastAsia="zh-CN"/>
        </w:rPr>
        <w:t>8</w:t>
      </w:r>
      <w:r>
        <w:rPr>
          <w:rStyle w:val="17"/>
          <w:rFonts w:hint="eastAsia" w:ascii="仿宋_GB2312" w:hAnsi="宋体" w:eastAsia="仿宋_GB2312" w:cs="Times New Roman"/>
          <w:b w:val="0"/>
          <w:bCs w:val="0"/>
          <w:spacing w:val="-4"/>
          <w:sz w:val="28"/>
          <w:szCs w:val="28"/>
          <w:highlight w:val="none"/>
        </w:rPr>
        <w:t>%，指标完成率100%；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rPr>
      </w:pPr>
      <w:r>
        <w:rPr>
          <w:rStyle w:val="17"/>
          <w:rFonts w:hint="eastAsia" w:ascii="仿宋_GB2312" w:hAnsi="宋体" w:eastAsia="仿宋_GB2312" w:cs="Times New Roman"/>
          <w:b w:val="0"/>
          <w:bCs w:val="0"/>
          <w:spacing w:val="-4"/>
          <w:sz w:val="28"/>
          <w:szCs w:val="28"/>
          <w:highlight w:val="none"/>
        </w:rPr>
        <w:t>指标3：高龄老人满意度，指标值&gt;=95%，实际完成值：9</w:t>
      </w:r>
      <w:r>
        <w:rPr>
          <w:rStyle w:val="17"/>
          <w:rFonts w:hint="eastAsia" w:ascii="仿宋_GB2312" w:hAnsi="宋体" w:eastAsia="仿宋_GB2312" w:cs="Times New Roman"/>
          <w:b w:val="0"/>
          <w:bCs w:val="0"/>
          <w:spacing w:val="-4"/>
          <w:sz w:val="28"/>
          <w:szCs w:val="28"/>
          <w:highlight w:val="none"/>
          <w:lang w:val="en-US" w:eastAsia="zh-CN"/>
        </w:rPr>
        <w:t>5</w:t>
      </w:r>
      <w:r>
        <w:rPr>
          <w:rStyle w:val="17"/>
          <w:rFonts w:hint="eastAsia" w:ascii="仿宋_GB2312" w:hAnsi="宋体" w:eastAsia="仿宋_GB2312" w:cs="Times New Roman"/>
          <w:b w:val="0"/>
          <w:bCs w:val="0"/>
          <w:spacing w:val="-4"/>
          <w:sz w:val="28"/>
          <w:szCs w:val="28"/>
          <w:highlight w:val="none"/>
        </w:rPr>
        <w:t>% ，指标完成率100%；</w:t>
      </w:r>
    </w:p>
    <w:p>
      <w:pPr>
        <w:spacing w:line="560" w:lineRule="exact"/>
        <w:ind w:firstLine="544" w:firstLineChars="200"/>
        <w:rPr>
          <w:rStyle w:val="17"/>
          <w:rFonts w:hint="eastAsia" w:ascii="仿宋_GB2312" w:hAnsi="宋体" w:eastAsia="仿宋_GB2312" w:cs="Times New Roman"/>
          <w:b w:val="0"/>
          <w:bCs w:val="0"/>
          <w:spacing w:val="-4"/>
          <w:sz w:val="28"/>
          <w:szCs w:val="28"/>
          <w:highlight w:val="none"/>
          <w:lang w:eastAsia="zh-CN"/>
        </w:rPr>
      </w:pPr>
      <w:r>
        <w:rPr>
          <w:rStyle w:val="17"/>
          <w:rFonts w:hint="eastAsia" w:ascii="仿宋_GB2312" w:hAnsi="宋体" w:eastAsia="仿宋_GB2312" w:cs="Times New Roman"/>
          <w:b w:val="0"/>
          <w:bCs w:val="0"/>
          <w:spacing w:val="-4"/>
          <w:sz w:val="28"/>
          <w:szCs w:val="28"/>
          <w:highlight w:val="none"/>
        </w:rPr>
        <w:t>指标4：残疾人满意度，指标值：&gt;=95%，实际完成值：9</w:t>
      </w:r>
      <w:r>
        <w:rPr>
          <w:rStyle w:val="17"/>
          <w:rFonts w:hint="eastAsia" w:ascii="仿宋_GB2312" w:hAnsi="宋体" w:eastAsia="仿宋_GB2312" w:cs="Times New Roman"/>
          <w:b w:val="0"/>
          <w:bCs w:val="0"/>
          <w:spacing w:val="-4"/>
          <w:sz w:val="28"/>
          <w:szCs w:val="28"/>
          <w:highlight w:val="none"/>
          <w:lang w:val="en-US" w:eastAsia="zh-CN"/>
        </w:rPr>
        <w:t>5</w:t>
      </w:r>
      <w:r>
        <w:rPr>
          <w:rStyle w:val="17"/>
          <w:rFonts w:hint="eastAsia" w:ascii="仿宋_GB2312" w:hAnsi="宋体" w:eastAsia="仿宋_GB2312" w:cs="Times New Roman"/>
          <w:b w:val="0"/>
          <w:bCs w:val="0"/>
          <w:spacing w:val="-4"/>
          <w:sz w:val="28"/>
          <w:szCs w:val="28"/>
          <w:highlight w:val="none"/>
        </w:rPr>
        <w:t>%，指标完成率100%</w:t>
      </w:r>
      <w:r>
        <w:rPr>
          <w:rStyle w:val="17"/>
          <w:rFonts w:hint="eastAsia" w:ascii="仿宋_GB2312" w:hAnsi="宋体" w:eastAsia="仿宋_GB2312" w:cs="Times New Roman"/>
          <w:b w:val="0"/>
          <w:bCs w:val="0"/>
          <w:spacing w:val="-4"/>
          <w:sz w:val="28"/>
          <w:szCs w:val="28"/>
          <w:highlight w:val="none"/>
          <w:lang w:eastAsia="zh-CN"/>
        </w:rPr>
        <w:t>。</w:t>
      </w:r>
    </w:p>
    <w:p>
      <w:pPr>
        <w:pStyle w:val="30"/>
        <w:rPr>
          <w:rFonts w:eastAsia="仿宋_GB2312"/>
          <w:color w:val="auto"/>
          <w:highlight w:val="none"/>
        </w:rPr>
      </w:pPr>
    </w:p>
    <w:p>
      <w:pPr>
        <w:pStyle w:val="30"/>
        <w:rPr>
          <w:color w:val="auto"/>
        </w:rPr>
      </w:pPr>
    </w:p>
    <w:p>
      <w:pPr>
        <w:spacing w:line="560" w:lineRule="exact"/>
        <w:ind w:firstLine="544" w:firstLineChars="200"/>
        <w:rPr>
          <w:rStyle w:val="17"/>
          <w:rFonts w:ascii="仿宋_GB2312" w:hAnsi="宋体" w:eastAsia="仿宋_GB2312"/>
          <w:b w:val="0"/>
          <w:bCs w:val="0"/>
          <w:spacing w:val="-4"/>
          <w:sz w:val="28"/>
          <w:szCs w:val="28"/>
        </w:rPr>
      </w:pPr>
    </w:p>
    <w:p>
      <w:pPr>
        <w:pStyle w:val="4"/>
        <w:spacing w:line="560" w:lineRule="exact"/>
        <w:rPr>
          <w:rFonts w:ascii="仿宋" w:hAnsi="仿宋" w:eastAsia="仿宋"/>
          <w:sz w:val="36"/>
          <w:szCs w:val="36"/>
        </w:rPr>
      </w:pPr>
      <w:bookmarkStart w:id="31" w:name="_Toc70450317"/>
      <w:r>
        <w:rPr>
          <w:rFonts w:hint="eastAsia" w:ascii="仿宋" w:hAnsi="仿宋" w:eastAsia="仿宋"/>
          <w:sz w:val="36"/>
          <w:szCs w:val="36"/>
        </w:rPr>
        <w:t>六、存在的主要问题</w:t>
      </w:r>
      <w:bookmarkEnd w:id="31"/>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一是项目存在一卡通资金下达或通过网银打款时，账户名称、账户账号、账户开户行错误现象，且仍存在二次打款失败的情况。二是存在两项补贴款打入家属账户内，用途无法监管的问题根据上述情况</w:t>
      </w:r>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原因分析如下：一是与乡镇民政办沟通欠缺，联系不够通畅；二是虽然已经使用了系统但仍存在错误率，如果可以，能否与公安户籍科室与银行进行畅联，信息共享。三是未统一发放渠道、发放银行，增加了工作的错误率；四是乡镇审核不到位，县级发放时存在延误性，未能及时将失败款项打出，解决困难群众生活问题。五是虽然已经使用了系统但仍存在错误率，如果可以，能否与公安户籍科室与银行进行畅联，信息共享。</w:t>
      </w:r>
    </w:p>
    <w:p>
      <w:pPr>
        <w:pStyle w:val="4"/>
        <w:numPr>
          <w:ilvl w:val="0"/>
          <w:numId w:val="5"/>
        </w:numPr>
        <w:spacing w:line="560" w:lineRule="exact"/>
        <w:rPr>
          <w:rFonts w:ascii="仿宋" w:hAnsi="仿宋" w:eastAsia="仿宋"/>
          <w:sz w:val="36"/>
          <w:szCs w:val="36"/>
        </w:rPr>
      </w:pPr>
      <w:bookmarkStart w:id="32" w:name="_Toc70450318"/>
      <w:r>
        <w:rPr>
          <w:rFonts w:hint="eastAsia" w:ascii="仿宋" w:hAnsi="仿宋" w:eastAsia="仿宋"/>
          <w:sz w:val="36"/>
          <w:szCs w:val="36"/>
        </w:rPr>
        <w:t>改进措施和建议</w:t>
      </w:r>
      <w:bookmarkEnd w:id="32"/>
      <w:bookmarkStart w:id="33" w:name="_Toc70450319"/>
    </w:p>
    <w:p>
      <w:pPr>
        <w:pStyle w:val="4"/>
        <w:spacing w:line="560" w:lineRule="exact"/>
        <w:rPr>
          <w:rStyle w:val="17"/>
          <w:rFonts w:ascii="仿宋" w:hAnsi="仿宋" w:eastAsia="仿宋"/>
          <w:b/>
          <w:bCs/>
        </w:rPr>
      </w:pPr>
      <w:r>
        <w:rPr>
          <w:rStyle w:val="17"/>
          <w:rFonts w:hint="eastAsia" w:ascii="仿宋" w:hAnsi="仿宋" w:eastAsia="仿宋"/>
          <w:b/>
          <w:bCs/>
        </w:rPr>
        <w:t>（一）改进措施</w:t>
      </w:r>
      <w:bookmarkEnd w:id="33"/>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一是加强局本级与各乡镇的联系，确保减少一卡通支付错误率。二是强化系统管理，创建平台化管理实名认证、最好能够与公安系统、支付宝系统刷脸实名认证。三是强化乡镇审核职责，增加学习本领，进行乡镇排名，以奖代资，工作排名较前的给予物资、精神奖励。四是实现信息同享，减少信息错误率。五是统一发放渠道如开户行，并有银行进行核查推送因非账户、行号错误等原因出现的打卡失败人员名单。</w:t>
      </w:r>
    </w:p>
    <w:p>
      <w:pPr>
        <w:pStyle w:val="5"/>
        <w:spacing w:line="560" w:lineRule="exact"/>
        <w:rPr>
          <w:rStyle w:val="17"/>
          <w:rFonts w:ascii="仿宋" w:hAnsi="仿宋" w:eastAsia="仿宋"/>
          <w:b/>
          <w:bCs/>
        </w:rPr>
      </w:pPr>
      <w:bookmarkStart w:id="34" w:name="_Toc70450320"/>
      <w:r>
        <w:rPr>
          <w:rStyle w:val="17"/>
          <w:rFonts w:hint="eastAsia" w:ascii="仿宋" w:hAnsi="仿宋" w:eastAsia="仿宋"/>
          <w:b/>
          <w:bCs/>
        </w:rPr>
        <w:t>（二）建议</w:t>
      </w:r>
      <w:bookmarkEnd w:id="34"/>
    </w:p>
    <w:p>
      <w:pPr>
        <w:spacing w:line="560" w:lineRule="exact"/>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该项目涉及面广，涉及特克斯县八个乡镇、覆盖全县76个村社区，困难群众的核查工作量大，按照要求应将符合条件的享受对象进行精准统计，该项统计涉及人力、物力、财力，对于这项工作，人员紧缺，仅靠县乡两级民政科室进行较为吃力，对于困难群体的救助，当以扶智相结合，加大受益群体与受益群体的家属的感恩教育，建议加大专项工作经费预算力度。与乡镇进行衔接，增强配合度与沟通，打通部门壁垒，将民政、残联的作用、红十字会作用共同作用于困难群众身上，专注于解决难题，发挥作用。</w:t>
      </w:r>
    </w:p>
    <w:p>
      <w:pPr>
        <w:spacing w:line="560" w:lineRule="exact"/>
      </w:pPr>
    </w:p>
    <w:p>
      <w:pPr>
        <w:pStyle w:val="4"/>
        <w:spacing w:line="560" w:lineRule="exact"/>
        <w:rPr>
          <w:rStyle w:val="17"/>
          <w:rFonts w:ascii="仿宋" w:hAnsi="仿宋" w:eastAsia="仿宋"/>
          <w:b/>
          <w:bCs/>
          <w:sz w:val="36"/>
          <w:szCs w:val="36"/>
        </w:rPr>
      </w:pPr>
      <w:bookmarkStart w:id="35"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6" w:name="_Hlk70450148"/>
      <w:r>
        <w:rPr>
          <w:rStyle w:val="17"/>
          <w:rFonts w:hint="eastAsia" w:ascii="仿宋" w:hAnsi="仿宋" w:eastAsia="仿宋"/>
          <w:b/>
          <w:bCs/>
          <w:sz w:val="36"/>
          <w:szCs w:val="36"/>
        </w:rPr>
        <w:t>《部门整体支出绩效目标自评表》</w:t>
      </w:r>
      <w:bookmarkEnd w:id="35"/>
      <w:bookmarkEnd w:id="36"/>
    </w:p>
    <w:p>
      <w:pPr>
        <w:spacing w:line="560" w:lineRule="exact"/>
        <w:rPr>
          <w:rFonts w:ascii="仿宋" w:hAnsi="仿宋" w:eastAsia="仿宋" w:cs="宋体"/>
          <w:sz w:val="32"/>
          <w:szCs w:val="32"/>
        </w:rPr>
      </w:pPr>
    </w:p>
    <w:p>
      <w:pPr>
        <w:pStyle w:val="2"/>
        <w:rPr>
          <w:rFonts w:hint="eastAsia" w:ascii="仿宋" w:hAnsi="仿宋" w:eastAsia="仿宋" w:cs="宋体"/>
          <w:sz w:val="32"/>
          <w:szCs w:val="32"/>
        </w:rPr>
      </w:pPr>
    </w:p>
    <w:p>
      <w:pPr>
        <w:pStyle w:val="2"/>
        <w:rPr>
          <w:rFonts w:hint="eastAsia" w:ascii="仿宋" w:hAnsi="仿宋" w:eastAsia="仿宋" w:cs="宋体"/>
          <w:sz w:val="32"/>
          <w:szCs w:val="32"/>
        </w:rPr>
      </w:pPr>
    </w:p>
    <w:p>
      <w:pPr>
        <w:pStyle w:val="2"/>
        <w:rPr>
          <w:rFonts w:hint="eastAsia" w:ascii="仿宋" w:hAnsi="仿宋" w:eastAsia="仿宋" w:cs="宋体"/>
          <w:sz w:val="32"/>
          <w:szCs w:val="32"/>
        </w:rPr>
      </w:pPr>
    </w:p>
    <w:p>
      <w:pPr>
        <w:pStyle w:val="2"/>
        <w:rPr>
          <w:rFonts w:hint="eastAsia" w:ascii="仿宋" w:hAnsi="仿宋" w:eastAsia="仿宋" w:cs="宋体"/>
          <w:sz w:val="32"/>
          <w:szCs w:val="32"/>
        </w:rPr>
      </w:pPr>
    </w:p>
    <w:p>
      <w:pPr>
        <w:pStyle w:val="2"/>
        <w:rPr>
          <w:rFonts w:hint="eastAsia" w:ascii="仿宋" w:hAnsi="仿宋" w:eastAsia="仿宋" w:cs="宋体"/>
          <w:sz w:val="32"/>
          <w:szCs w:val="32"/>
        </w:rPr>
      </w:pPr>
    </w:p>
    <w:p>
      <w:pPr>
        <w:pStyle w:val="2"/>
        <w:rPr>
          <w:rFonts w:ascii="仿宋" w:hAnsi="仿宋" w:eastAsia="仿宋" w:cs="宋体"/>
          <w:sz w:val="32"/>
          <w:szCs w:val="32"/>
        </w:rPr>
      </w:pPr>
    </w:p>
    <w:p>
      <w:pPr>
        <w:pStyle w:val="2"/>
        <w:rPr>
          <w:rFonts w:ascii="仿宋" w:hAnsi="仿宋" w:eastAsia="仿宋" w:cs="宋体"/>
          <w:sz w:val="32"/>
          <w:szCs w:val="32"/>
        </w:rPr>
      </w:pPr>
    </w:p>
    <w:p>
      <w:pPr>
        <w:pStyle w:val="2"/>
        <w:rPr>
          <w:rFonts w:ascii="仿宋" w:hAnsi="仿宋" w:eastAsia="仿宋" w:cs="宋体"/>
          <w:sz w:val="32"/>
          <w:szCs w:val="32"/>
        </w:rPr>
      </w:pPr>
    </w:p>
    <w:p>
      <w:pPr>
        <w:pStyle w:val="2"/>
        <w:rPr>
          <w:rFonts w:ascii="仿宋" w:hAnsi="仿宋" w:eastAsia="仿宋" w:cs="宋体"/>
          <w:sz w:val="32"/>
          <w:szCs w:val="32"/>
        </w:rPr>
      </w:pPr>
    </w:p>
    <w:p>
      <w:pPr>
        <w:pStyle w:val="2"/>
        <w:rPr>
          <w:rFonts w:ascii="仿宋" w:hAnsi="仿宋" w:eastAsia="仿宋" w:cs="宋体"/>
          <w:sz w:val="32"/>
          <w:szCs w:val="32"/>
        </w:rPr>
      </w:pPr>
    </w:p>
    <w:tbl>
      <w:tblPr>
        <w:tblStyle w:val="15"/>
        <w:tblpPr w:leftFromText="180" w:rightFromText="180" w:vertAnchor="text" w:horzAnchor="page" w:tblpX="821" w:tblpY="226"/>
        <w:tblOverlap w:val="never"/>
        <w:tblW w:w="9340" w:type="dxa"/>
        <w:tblInd w:w="0" w:type="dxa"/>
        <w:tblLayout w:type="autofit"/>
        <w:tblCellMar>
          <w:top w:w="0" w:type="dxa"/>
          <w:left w:w="108" w:type="dxa"/>
          <w:bottom w:w="0" w:type="dxa"/>
          <w:right w:w="108" w:type="dxa"/>
        </w:tblCellMar>
      </w:tblPr>
      <w:tblGrid>
        <w:gridCol w:w="457"/>
        <w:gridCol w:w="1218"/>
        <w:gridCol w:w="1379"/>
        <w:gridCol w:w="1093"/>
        <w:gridCol w:w="1126"/>
        <w:gridCol w:w="1060"/>
        <w:gridCol w:w="1121"/>
        <w:gridCol w:w="684"/>
        <w:gridCol w:w="260"/>
        <w:gridCol w:w="970"/>
      </w:tblGrid>
      <w:tr>
        <w:tblPrEx>
          <w:tblCellMar>
            <w:top w:w="0" w:type="dxa"/>
            <w:left w:w="108" w:type="dxa"/>
            <w:bottom w:w="0" w:type="dxa"/>
            <w:right w:w="108" w:type="dxa"/>
          </w:tblCellMar>
        </w:tblPrEx>
        <w:trPr>
          <w:trHeight w:val="686" w:hRule="atLeast"/>
        </w:trPr>
        <w:tc>
          <w:tcPr>
            <w:tcW w:w="9340" w:type="dxa"/>
            <w:gridSpan w:val="10"/>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sz w:val="32"/>
                <w:szCs w:val="32"/>
                <w:highlight w:val="none"/>
              </w:rPr>
            </w:pPr>
            <w:r>
              <w:rPr>
                <w:rFonts w:hint="eastAsia" w:ascii="宋体" w:hAnsi="宋体" w:eastAsia="宋体" w:cs="宋体"/>
                <w:b/>
                <w:bCs/>
                <w:kern w:val="0"/>
                <w:sz w:val="32"/>
                <w:szCs w:val="32"/>
                <w:highlight w:val="none"/>
              </w:rPr>
              <w:t>部门整体支出绩效目标自评表</w:t>
            </w:r>
          </w:p>
        </w:tc>
      </w:tr>
      <w:tr>
        <w:tblPrEx>
          <w:tblCellMar>
            <w:top w:w="0" w:type="dxa"/>
            <w:left w:w="108" w:type="dxa"/>
            <w:bottom w:w="0" w:type="dxa"/>
            <w:right w:w="108" w:type="dxa"/>
          </w:tblCellMar>
        </w:tblPrEx>
        <w:trPr>
          <w:trHeight w:val="565" w:hRule="atLeast"/>
        </w:trPr>
        <w:tc>
          <w:tcPr>
            <w:tcW w:w="9340" w:type="dxa"/>
            <w:gridSpan w:val="10"/>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sz w:val="32"/>
                <w:szCs w:val="32"/>
                <w:highlight w:val="none"/>
              </w:rPr>
            </w:pPr>
            <w:r>
              <w:rPr>
                <w:rFonts w:hint="eastAsia" w:ascii="宋体" w:hAnsi="宋体" w:eastAsia="宋体" w:cs="宋体"/>
                <w:b/>
                <w:bCs/>
                <w:kern w:val="0"/>
                <w:sz w:val="32"/>
                <w:szCs w:val="32"/>
                <w:highlight w:val="none"/>
              </w:rPr>
              <w:t>(2021年)</w:t>
            </w:r>
          </w:p>
        </w:tc>
      </w:tr>
      <w:tr>
        <w:tblPrEx>
          <w:tblCellMar>
            <w:top w:w="0" w:type="dxa"/>
            <w:left w:w="108" w:type="dxa"/>
            <w:bottom w:w="0" w:type="dxa"/>
            <w:right w:w="108" w:type="dxa"/>
          </w:tblCellMar>
        </w:tblPrEx>
        <w:trPr>
          <w:trHeight w:val="603" w:hRule="atLeast"/>
        </w:trPr>
        <w:tc>
          <w:tcPr>
            <w:tcW w:w="1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部门（单位）名称</w:t>
            </w:r>
          </w:p>
        </w:tc>
        <w:tc>
          <w:tcPr>
            <w:tcW w:w="76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特克斯县民政局</w:t>
            </w:r>
          </w:p>
        </w:tc>
      </w:tr>
      <w:tr>
        <w:tblPrEx>
          <w:tblCellMar>
            <w:top w:w="0" w:type="dxa"/>
            <w:left w:w="108" w:type="dxa"/>
            <w:bottom w:w="0" w:type="dxa"/>
            <w:right w:w="108" w:type="dxa"/>
          </w:tblCellMar>
        </w:tblPrEx>
        <w:trPr>
          <w:trHeight w:val="603" w:hRule="atLeast"/>
        </w:trPr>
        <w:tc>
          <w:tcPr>
            <w:tcW w:w="4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年度主要任务</w:t>
            </w: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任务名称</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主要内容</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预算金额（万元）</w:t>
            </w:r>
          </w:p>
        </w:tc>
        <w:tc>
          <w:tcPr>
            <w:tcW w:w="30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实际执行（万元）</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总额</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财政拨款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其他资金</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总额</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财政拨款</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其他资金</w:t>
            </w:r>
          </w:p>
        </w:tc>
      </w:tr>
      <w:tr>
        <w:tblPrEx>
          <w:tblCellMar>
            <w:top w:w="0" w:type="dxa"/>
            <w:left w:w="108" w:type="dxa"/>
            <w:bottom w:w="0" w:type="dxa"/>
            <w:right w:w="108" w:type="dxa"/>
          </w:tblCellMar>
        </w:tblPrEx>
        <w:trPr>
          <w:trHeight w:val="3962"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人员保障</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基本工资、津贴补贴、资金、机关事业单位基本养老保险缴费、其他社会保险缴费。以及对个人和家庭的补助支出包括退休费、生活补助、住房公积金等。</w:t>
            </w: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308.65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308.65</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308.65</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308.65</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r>
      <w:tr>
        <w:tblPrEx>
          <w:tblCellMar>
            <w:top w:w="0" w:type="dxa"/>
            <w:left w:w="108" w:type="dxa"/>
            <w:bottom w:w="0" w:type="dxa"/>
            <w:right w:w="108" w:type="dxa"/>
          </w:tblCellMar>
        </w:tblPrEx>
        <w:trPr>
          <w:trHeight w:val="2331"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运转保障</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商品和服务支出包括办公费、水费、电费、邮电费、取暖费、差旅费、公务用车运行维护费等</w:t>
            </w: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10.1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10.1</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10.1</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r>
      <w:tr>
        <w:tblPrEx>
          <w:tblCellMar>
            <w:top w:w="0" w:type="dxa"/>
            <w:left w:w="108" w:type="dxa"/>
            <w:bottom w:w="0" w:type="dxa"/>
            <w:right w:w="108" w:type="dxa"/>
          </w:tblCellMar>
        </w:tblPrEx>
        <w:trPr>
          <w:trHeight w:val="1527"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残疾人两项补贴</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重度残疾人护理补贴和困难残疾人生活补贴</w:t>
            </w: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400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400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400</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400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r>
      <w:tr>
        <w:tblPrEx>
          <w:tblCellMar>
            <w:top w:w="0" w:type="dxa"/>
            <w:left w:w="108" w:type="dxa"/>
            <w:bottom w:w="0" w:type="dxa"/>
            <w:right w:w="108" w:type="dxa"/>
          </w:tblCellMar>
        </w:tblPrEx>
        <w:trPr>
          <w:trHeight w:val="1577"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高龄补贴</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highlight w:val="none"/>
              </w:rPr>
            </w:pPr>
            <w:r>
              <w:rPr>
                <w:rFonts w:hint="eastAsia" w:ascii="宋体" w:hAnsi="宋体" w:eastAsia="宋体" w:cs="宋体"/>
                <w:kern w:val="0"/>
                <w:sz w:val="24"/>
                <w:highlight w:val="none"/>
              </w:rPr>
              <w:t>80周岁以上老年人基本生活津贴和免费体检县级配套资金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230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230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230</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highlight w:val="none"/>
              </w:rPr>
            </w:pPr>
            <w:r>
              <w:rPr>
                <w:rFonts w:hint="eastAsia" w:ascii="宋体" w:hAnsi="宋体" w:eastAsia="宋体" w:cs="宋体"/>
                <w:kern w:val="0"/>
                <w:sz w:val="24"/>
                <w:highlight w:val="none"/>
              </w:rPr>
              <w:t>230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0"/>
                <w:szCs w:val="20"/>
                <w:highlight w:val="none"/>
              </w:rPr>
            </w:pPr>
            <w:r>
              <w:rPr>
                <w:rFonts w:hint="eastAsia" w:ascii="宋体" w:hAnsi="宋体" w:eastAsia="宋体" w:cs="宋体"/>
                <w:kern w:val="0"/>
                <w:sz w:val="20"/>
                <w:szCs w:val="20"/>
                <w:highlight w:val="none"/>
              </w:rPr>
              <w:t>0</w:t>
            </w:r>
          </w:p>
        </w:tc>
      </w:tr>
      <w:tr>
        <w:tblPrEx>
          <w:tblCellMar>
            <w:top w:w="0" w:type="dxa"/>
            <w:left w:w="108" w:type="dxa"/>
            <w:bottom w:w="0" w:type="dxa"/>
            <w:right w:w="108" w:type="dxa"/>
          </w:tblCellMar>
        </w:tblPrEx>
        <w:trPr>
          <w:trHeight w:val="43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p>
        </w:tc>
        <w:tc>
          <w:tcPr>
            <w:tcW w:w="25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highlight w:val="none"/>
              </w:rPr>
            </w:pPr>
            <w:r>
              <w:rPr>
                <w:rFonts w:hint="eastAsia" w:ascii="宋体" w:hAnsi="宋体" w:eastAsia="宋体" w:cs="宋体"/>
                <w:b/>
                <w:bCs/>
                <w:kern w:val="0"/>
                <w:sz w:val="24"/>
                <w:highlight w:val="none"/>
              </w:rPr>
              <w:t>金额合计</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948.75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highlight w:val="none"/>
              </w:rPr>
            </w:pPr>
            <w:r>
              <w:rPr>
                <w:rFonts w:hint="eastAsia" w:ascii="宋体" w:hAnsi="宋体" w:eastAsia="宋体" w:cs="宋体"/>
                <w:sz w:val="24"/>
                <w:highlight w:val="none"/>
                <w:lang w:val="en-US" w:eastAsia="zh-CN"/>
              </w:rPr>
              <w:t>948.75</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0</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highlight w:val="none"/>
              </w:rPr>
            </w:pPr>
            <w:r>
              <w:rPr>
                <w:rFonts w:hint="eastAsia" w:ascii="宋体" w:hAnsi="宋体" w:eastAsia="宋体" w:cs="宋体"/>
                <w:sz w:val="24"/>
                <w:highlight w:val="none"/>
                <w:lang w:val="en-US" w:eastAsia="zh-CN"/>
              </w:rPr>
              <w:t>948.75</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highlight w:val="none"/>
              </w:rPr>
            </w:pPr>
            <w:r>
              <w:rPr>
                <w:rFonts w:hint="eastAsia" w:ascii="宋体" w:hAnsi="宋体" w:eastAsia="宋体" w:cs="宋体"/>
                <w:sz w:val="24"/>
                <w:highlight w:val="none"/>
                <w:lang w:val="en-US" w:eastAsia="zh-CN"/>
              </w:rPr>
              <w:t>948.75</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0</w:t>
            </w:r>
          </w:p>
        </w:tc>
      </w:tr>
      <w:tr>
        <w:tblPrEx>
          <w:tblCellMar>
            <w:top w:w="0" w:type="dxa"/>
            <w:left w:w="108" w:type="dxa"/>
            <w:bottom w:w="0" w:type="dxa"/>
            <w:right w:w="108" w:type="dxa"/>
          </w:tblCellMar>
        </w:tblPrEx>
        <w:trPr>
          <w:trHeight w:val="603" w:hRule="atLeast"/>
        </w:trPr>
        <w:tc>
          <w:tcPr>
            <w:tcW w:w="429"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年度总体目标</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预期目标</w:t>
            </w:r>
          </w:p>
        </w:tc>
        <w:tc>
          <w:tcPr>
            <w:tcW w:w="52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5092" w:hRule="atLeast"/>
        </w:trPr>
        <w:tc>
          <w:tcPr>
            <w:tcW w:w="429"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0"/>
                <w:szCs w:val="20"/>
              </w:rPr>
            </w:pPr>
            <w:r>
              <w:rPr>
                <w:rFonts w:hint="eastAsia" w:ascii="宋体" w:hAnsi="宋体" w:eastAsia="宋体" w:cs="宋体"/>
                <w:kern w:val="0"/>
                <w:sz w:val="20"/>
                <w:szCs w:val="20"/>
              </w:rPr>
              <w:t>目标1：有效的保障机构运行，全系统人员工资社保发放。                                                              目标2：根据《中华人民共和国老年人权益保障法》和《新疆维吾尔自治区保护老年人合法权益条例》《新疆维吾尔自治区优待老年人规定》，认真贯彻执行党和国家有关老龄工作的方针和规划，积极协调各级政府老龄工作；负责全县老年工作的宏观指导和综合管理，做好维护老年人合法权益工作；负责组织实施州党委有关人口老龄化的调查研究工作，负责研究、解决老年人的各种实际问题；实施80周岁以上老年人基本生活津贴发放制度和免费体检制度。                                                                                               目标3：根据《自治区人民政府关于建立困难残疾人生活补贴和重度残疾人护理补贴制度的实施意见》（新政发【2016】44号）文件精神，伊州民字【2016】139号文件要求，需要县级配套两项补贴金400万元。</w:t>
            </w:r>
          </w:p>
        </w:tc>
        <w:tc>
          <w:tcPr>
            <w:tcW w:w="52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0"/>
                <w:szCs w:val="20"/>
              </w:rPr>
            </w:pPr>
            <w:r>
              <w:rPr>
                <w:rFonts w:hint="eastAsia" w:ascii="宋体" w:hAnsi="宋体" w:eastAsia="宋体" w:cs="宋体"/>
                <w:kern w:val="0"/>
                <w:sz w:val="20"/>
                <w:szCs w:val="20"/>
              </w:rPr>
              <w:t xml:space="preserve">按照年初制定目标全额完成全年任务如下1、有效的保障机构运行，全系统人员工资社保发放工作。                                                            2、按照时间节点全部已经完成高龄老人基本津贴工作、明显提升高龄老人生活水平。                                                                        3、按照时间节点完成残疾人两项补贴工作，有效的保障社会救助群体的权益。                                                                  </w:t>
            </w:r>
          </w:p>
        </w:tc>
      </w:tr>
      <w:tr>
        <w:tblPrEx>
          <w:tblCellMar>
            <w:top w:w="0" w:type="dxa"/>
            <w:left w:w="108" w:type="dxa"/>
            <w:bottom w:w="0" w:type="dxa"/>
            <w:right w:w="108" w:type="dxa"/>
          </w:tblCellMar>
        </w:tblPrEx>
        <w:trPr>
          <w:trHeight w:val="1139" w:hRule="atLeast"/>
        </w:trPr>
        <w:tc>
          <w:tcPr>
            <w:tcW w:w="4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年度绩效指标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一级指标</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二级指标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三级指标</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预期指标值（包含数字及文字描述）</w:t>
            </w:r>
          </w:p>
        </w:tc>
        <w:tc>
          <w:tcPr>
            <w:tcW w:w="123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kern w:val="0"/>
                <w:sz w:val="24"/>
              </w:rPr>
              <w:t>实际完成指标值（包含数字及文字描述）</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产出指标</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保障在职人员人数</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&gt;=32人</w:t>
            </w:r>
          </w:p>
        </w:tc>
        <w:tc>
          <w:tcPr>
            <w:tcW w:w="1230"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3</w:t>
            </w:r>
            <w:r>
              <w:rPr>
                <w:rFonts w:hint="eastAsia" w:ascii="宋体" w:hAnsi="宋体" w:eastAsia="宋体" w:cs="宋体"/>
                <w:kern w:val="0"/>
                <w:sz w:val="20"/>
                <w:szCs w:val="20"/>
                <w:lang w:val="en-US" w:eastAsia="zh-CN"/>
              </w:rPr>
              <w:t>2</w:t>
            </w:r>
            <w:r>
              <w:rPr>
                <w:rFonts w:hint="eastAsia" w:ascii="宋体" w:hAnsi="宋体" w:eastAsia="宋体" w:cs="宋体"/>
                <w:kern w:val="0"/>
                <w:sz w:val="20"/>
                <w:szCs w:val="20"/>
              </w:rPr>
              <w:t>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80-89岁的高龄老人</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&gt;=950人</w:t>
            </w:r>
          </w:p>
        </w:tc>
        <w:tc>
          <w:tcPr>
            <w:tcW w:w="123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val="en-US" w:eastAsia="zh-CN"/>
              </w:rPr>
              <w:t>950</w:t>
            </w:r>
            <w:r>
              <w:rPr>
                <w:rFonts w:hint="eastAsia" w:ascii="宋体" w:hAnsi="宋体" w:eastAsia="宋体" w:cs="宋体"/>
                <w:kern w:val="0"/>
                <w:sz w:val="20"/>
                <w:szCs w:val="20"/>
              </w:rPr>
              <w:t>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90-99岁的高龄老人</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&gt;=130人</w:t>
            </w:r>
          </w:p>
        </w:tc>
        <w:tc>
          <w:tcPr>
            <w:tcW w:w="123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val="en-US" w:eastAsia="zh-CN"/>
              </w:rPr>
              <w:t>130</w:t>
            </w:r>
            <w:r>
              <w:rPr>
                <w:rFonts w:hint="eastAsia" w:ascii="宋体" w:hAnsi="宋体" w:eastAsia="宋体" w:cs="宋体"/>
                <w:kern w:val="0"/>
                <w:sz w:val="20"/>
                <w:szCs w:val="20"/>
              </w:rPr>
              <w:t>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100岁以上的</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&gt;=4人</w:t>
            </w:r>
          </w:p>
        </w:tc>
        <w:tc>
          <w:tcPr>
            <w:tcW w:w="123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val="en-US" w:eastAsia="zh-CN"/>
              </w:rPr>
              <w:t>4</w:t>
            </w:r>
            <w:r>
              <w:rPr>
                <w:rFonts w:hint="eastAsia" w:ascii="宋体" w:hAnsi="宋体" w:eastAsia="宋体" w:cs="宋体"/>
                <w:kern w:val="0"/>
                <w:sz w:val="20"/>
                <w:szCs w:val="20"/>
              </w:rPr>
              <w:t>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残疾人享受护理补贴人数</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&gt;=1528人</w:t>
            </w:r>
          </w:p>
        </w:tc>
        <w:tc>
          <w:tcPr>
            <w:tcW w:w="123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val="en-US" w:eastAsia="zh-CN"/>
              </w:rPr>
              <w:t>1528</w:t>
            </w:r>
            <w:r>
              <w:rPr>
                <w:rFonts w:hint="eastAsia" w:ascii="宋体" w:hAnsi="宋体" w:eastAsia="宋体" w:cs="宋体"/>
                <w:kern w:val="0"/>
                <w:sz w:val="20"/>
                <w:szCs w:val="20"/>
              </w:rPr>
              <w:t>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残疾人享受生活补贴人数</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&gt;=1252人</w:t>
            </w:r>
          </w:p>
        </w:tc>
        <w:tc>
          <w:tcPr>
            <w:tcW w:w="123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val="en-US" w:eastAsia="zh-CN"/>
              </w:rPr>
              <w:t>1252</w:t>
            </w:r>
            <w:r>
              <w:rPr>
                <w:rFonts w:hint="eastAsia" w:ascii="宋体" w:hAnsi="宋体" w:eastAsia="宋体" w:cs="宋体"/>
                <w:kern w:val="0"/>
                <w:sz w:val="20"/>
                <w:szCs w:val="20"/>
              </w:rPr>
              <w:t>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日常工作正常运转率</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&gt;=98%</w:t>
            </w:r>
          </w:p>
        </w:tc>
        <w:tc>
          <w:tcPr>
            <w:tcW w:w="1230"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98%</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离退休人员补助正常发放率</w:t>
            </w:r>
          </w:p>
        </w:tc>
        <w:tc>
          <w:tcPr>
            <w:tcW w:w="1805"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&gt;=98%</w:t>
            </w:r>
          </w:p>
        </w:tc>
        <w:tc>
          <w:tcPr>
            <w:tcW w:w="1230"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98%</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发放高龄老人补贴准确率</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&gt;=98%</w:t>
            </w:r>
          </w:p>
        </w:tc>
        <w:tc>
          <w:tcPr>
            <w:tcW w:w="1230" w:type="dxa"/>
            <w:gridSpan w:val="2"/>
            <w:tcBorders>
              <w:top w:val="single" w:color="auto"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98%</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人员工资、福利及补助按时发放率</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=100%</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发放离退休人员补助及时性</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=100%</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发放80岁以上高龄老人补贴及时性</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=100%</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发放残疾人两项补贴及时性</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=100%</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人均运转经费数</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&lt;=0.32万元/人</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0.</w:t>
            </w:r>
            <w:r>
              <w:rPr>
                <w:rFonts w:hint="eastAsia" w:ascii="宋体" w:hAnsi="宋体" w:eastAsia="宋体" w:cs="宋体"/>
                <w:kern w:val="0"/>
                <w:sz w:val="20"/>
                <w:szCs w:val="20"/>
                <w:lang w:val="en-US" w:eastAsia="zh-CN"/>
              </w:rPr>
              <w:t>32</w:t>
            </w:r>
            <w:r>
              <w:rPr>
                <w:rFonts w:hint="eastAsia" w:ascii="宋体" w:hAnsi="宋体" w:eastAsia="宋体" w:cs="宋体"/>
                <w:kern w:val="0"/>
                <w:sz w:val="20"/>
                <w:szCs w:val="20"/>
              </w:rPr>
              <w:t>元/人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80-89岁的高龄老人补贴标准</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171万元/年</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171万元/年</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90-99岁的高龄老人补贴标准</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56.16万元/年</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56.16万元/年</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100岁以上高龄老人补贴标准</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2.88万元/年</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2.88万元/年</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残疾人享受护理补贴标准</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220万元/年</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220万元/年</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残疾人享受生活补贴标准</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180万元/年</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180万元/年</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工资福利及补助人均支出</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9.65万元/人</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9.65万元/人</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效益指标</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社会效益指标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提升老年人生活质量</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有效提升</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明显提升</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健全弱势群体关爱体系</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有效健全</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有效健全</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可持续影响指标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保障困难群众救助工作有序推进</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有效保障</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有效保障</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在职职工满意度</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&gt;=98%</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w:t>
            </w:r>
            <w:r>
              <w:rPr>
                <w:rFonts w:hint="eastAsia" w:ascii="宋体" w:hAnsi="宋体" w:eastAsia="宋体" w:cs="宋体"/>
                <w:kern w:val="0"/>
                <w:sz w:val="20"/>
                <w:szCs w:val="20"/>
                <w:lang w:val="en-US" w:eastAsia="zh-CN"/>
              </w:rPr>
              <w:t>8</w:t>
            </w:r>
            <w:r>
              <w:rPr>
                <w:rFonts w:hint="eastAsia" w:ascii="宋体" w:hAnsi="宋体" w:eastAsia="宋体" w:cs="宋体"/>
                <w:kern w:val="0"/>
                <w:sz w:val="20"/>
                <w:szCs w:val="20"/>
              </w:rPr>
              <w:t>%</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退休人员满意度</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&gt;=98%</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w:t>
            </w:r>
            <w:r>
              <w:rPr>
                <w:rFonts w:hint="eastAsia" w:ascii="宋体" w:hAnsi="宋体" w:eastAsia="宋体" w:cs="宋体"/>
                <w:kern w:val="0"/>
                <w:sz w:val="20"/>
                <w:szCs w:val="20"/>
                <w:lang w:val="en-US" w:eastAsia="zh-CN"/>
              </w:rPr>
              <w:t>8</w:t>
            </w:r>
            <w:r>
              <w:rPr>
                <w:rFonts w:hint="eastAsia" w:ascii="宋体" w:hAnsi="宋体" w:eastAsia="宋体" w:cs="宋体"/>
                <w:kern w:val="0"/>
                <w:sz w:val="20"/>
                <w:szCs w:val="20"/>
              </w:rPr>
              <w:t>%</w:t>
            </w:r>
          </w:p>
        </w:tc>
      </w:tr>
      <w:tr>
        <w:tblPrEx>
          <w:tblCellMar>
            <w:top w:w="0" w:type="dxa"/>
            <w:left w:w="108" w:type="dxa"/>
            <w:bottom w:w="0" w:type="dxa"/>
            <w:right w:w="108" w:type="dxa"/>
          </w:tblCellMar>
        </w:tblPrEx>
        <w:trPr>
          <w:trHeight w:val="603"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高龄老人满意度</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&gt;=95%</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w:t>
            </w:r>
            <w:r>
              <w:rPr>
                <w:rFonts w:hint="eastAsia" w:ascii="宋体" w:hAnsi="宋体" w:eastAsia="宋体" w:cs="宋体"/>
                <w:kern w:val="0"/>
                <w:sz w:val="20"/>
                <w:szCs w:val="20"/>
                <w:lang w:val="en-US" w:eastAsia="zh-CN"/>
              </w:rPr>
              <w:t>5</w:t>
            </w:r>
            <w:r>
              <w:rPr>
                <w:rFonts w:hint="eastAsia" w:ascii="宋体" w:hAnsi="宋体" w:eastAsia="宋体" w:cs="宋体"/>
                <w:kern w:val="0"/>
                <w:sz w:val="20"/>
                <w:szCs w:val="20"/>
              </w:rPr>
              <w:t>%</w:t>
            </w:r>
          </w:p>
        </w:tc>
      </w:tr>
      <w:tr>
        <w:tblPrEx>
          <w:tblCellMar>
            <w:top w:w="0" w:type="dxa"/>
            <w:left w:w="108" w:type="dxa"/>
            <w:bottom w:w="0" w:type="dxa"/>
            <w:right w:w="108" w:type="dxa"/>
          </w:tblCellMar>
        </w:tblPrEx>
        <w:trPr>
          <w:trHeight w:val="620" w:hRule="atLeast"/>
        </w:trPr>
        <w:tc>
          <w:tcPr>
            <w:tcW w:w="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sz w:val="24"/>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sz w:val="24"/>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残疾人满意度</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&gt;=95%</w:t>
            </w:r>
          </w:p>
        </w:tc>
        <w:tc>
          <w:tcPr>
            <w:tcW w:w="12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9</w:t>
            </w:r>
            <w:r>
              <w:rPr>
                <w:rFonts w:hint="eastAsia" w:ascii="宋体" w:hAnsi="宋体" w:eastAsia="宋体" w:cs="宋体"/>
                <w:kern w:val="0"/>
                <w:sz w:val="20"/>
                <w:szCs w:val="20"/>
                <w:lang w:val="en-US" w:eastAsia="zh-CN"/>
              </w:rPr>
              <w:t>5</w:t>
            </w:r>
            <w:r>
              <w:rPr>
                <w:rFonts w:hint="eastAsia" w:ascii="宋体" w:hAnsi="宋体" w:eastAsia="宋体" w:cs="宋体"/>
                <w:kern w:val="0"/>
                <w:sz w:val="20"/>
                <w:szCs w:val="20"/>
              </w:rPr>
              <w:t>%</w:t>
            </w:r>
          </w:p>
        </w:tc>
      </w:tr>
    </w:tbl>
    <w:p>
      <w:pPr>
        <w:pStyle w:val="2"/>
        <w:rPr>
          <w:rFonts w:ascii="仿宋" w:hAnsi="仿宋" w:eastAsia="仿宋" w:cs="宋体"/>
          <w:sz w:val="32"/>
          <w:szCs w:val="32"/>
        </w:rPr>
      </w:pPr>
    </w:p>
    <w:p>
      <w:pPr>
        <w:pStyle w:val="2"/>
        <w:rPr>
          <w:rFonts w:ascii="仿宋" w:hAnsi="仿宋" w:eastAsia="仿宋" w:cs="宋体"/>
          <w:sz w:val="32"/>
          <w:szCs w:val="32"/>
        </w:rPr>
      </w:pPr>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9"/>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32 -</w:t>
        </w:r>
        <w:r>
          <w:rPr>
            <w:rFonts w:asciiTheme="minorEastAsia" w:hAnsiTheme="minorEastAsia"/>
            <w:sz w:val="28"/>
            <w:szCs w:val="28"/>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EAFD4"/>
    <w:multiLevelType w:val="singleLevel"/>
    <w:tmpl w:val="820EAFD4"/>
    <w:lvl w:ilvl="0" w:tentative="0">
      <w:start w:val="1"/>
      <w:numFmt w:val="decimal"/>
      <w:suff w:val="nothing"/>
      <w:lvlText w:val="%1、"/>
      <w:lvlJc w:val="left"/>
    </w:lvl>
  </w:abstractNum>
  <w:abstractNum w:abstractNumId="1">
    <w:nsid w:val="838B356B"/>
    <w:multiLevelType w:val="singleLevel"/>
    <w:tmpl w:val="838B356B"/>
    <w:lvl w:ilvl="0" w:tentative="0">
      <w:start w:val="2"/>
      <w:numFmt w:val="decimal"/>
      <w:suff w:val="nothing"/>
      <w:lvlText w:val="（%1）"/>
      <w:lvlJc w:val="left"/>
    </w:lvl>
  </w:abstractNum>
  <w:abstractNum w:abstractNumId="2">
    <w:nsid w:val="85D28318"/>
    <w:multiLevelType w:val="singleLevel"/>
    <w:tmpl w:val="85D28318"/>
    <w:lvl w:ilvl="0" w:tentative="0">
      <w:start w:val="7"/>
      <w:numFmt w:val="chineseCounting"/>
      <w:suff w:val="nothing"/>
      <w:lvlText w:val="%1、"/>
      <w:lvlJc w:val="left"/>
      <w:rPr>
        <w:rFonts w:hint="eastAsia"/>
      </w:rPr>
    </w:lvl>
  </w:abstractNum>
  <w:abstractNum w:abstractNumId="3">
    <w:nsid w:val="3261E53D"/>
    <w:multiLevelType w:val="singleLevel"/>
    <w:tmpl w:val="3261E53D"/>
    <w:lvl w:ilvl="0" w:tentative="0">
      <w:start w:val="2"/>
      <w:numFmt w:val="decimal"/>
      <w:suff w:val="nothing"/>
      <w:lvlText w:val="%1、"/>
      <w:lvlJc w:val="left"/>
    </w:lvl>
  </w:abstractNum>
  <w:abstractNum w:abstractNumId="4">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I1MDZlYmI5MDk0MTg0NGQ5YjU3MzZhZWMwZGE3NjIifQ=="/>
  </w:docVars>
  <w:rsids>
    <w:rsidRoot w:val="00633862"/>
    <w:rsid w:val="00025A44"/>
    <w:rsid w:val="00072084"/>
    <w:rsid w:val="0009422A"/>
    <w:rsid w:val="000B6B13"/>
    <w:rsid w:val="000D1DEE"/>
    <w:rsid w:val="000D3AFA"/>
    <w:rsid w:val="000F27E2"/>
    <w:rsid w:val="00105D60"/>
    <w:rsid w:val="001121F2"/>
    <w:rsid w:val="00112859"/>
    <w:rsid w:val="001173EB"/>
    <w:rsid w:val="00150C4C"/>
    <w:rsid w:val="0017517E"/>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237D0"/>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1B70"/>
    <w:rsid w:val="00817432"/>
    <w:rsid w:val="00856F5C"/>
    <w:rsid w:val="008614D8"/>
    <w:rsid w:val="00875327"/>
    <w:rsid w:val="00886879"/>
    <w:rsid w:val="00890FC2"/>
    <w:rsid w:val="008944E9"/>
    <w:rsid w:val="008E3F8A"/>
    <w:rsid w:val="00923468"/>
    <w:rsid w:val="00952782"/>
    <w:rsid w:val="0095580D"/>
    <w:rsid w:val="0097614B"/>
    <w:rsid w:val="00992D45"/>
    <w:rsid w:val="009A1625"/>
    <w:rsid w:val="009E5879"/>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04253"/>
    <w:rsid w:val="00C42609"/>
    <w:rsid w:val="00C4673D"/>
    <w:rsid w:val="00C738E4"/>
    <w:rsid w:val="00C76454"/>
    <w:rsid w:val="00C81F75"/>
    <w:rsid w:val="00CB1C9D"/>
    <w:rsid w:val="00CC7606"/>
    <w:rsid w:val="00CD2F35"/>
    <w:rsid w:val="00CE16E7"/>
    <w:rsid w:val="00CE61DB"/>
    <w:rsid w:val="00D26F3D"/>
    <w:rsid w:val="00D278CF"/>
    <w:rsid w:val="00D70515"/>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2B8C"/>
    <w:rsid w:val="00F44FCC"/>
    <w:rsid w:val="00F74974"/>
    <w:rsid w:val="00F829DE"/>
    <w:rsid w:val="00F84215"/>
    <w:rsid w:val="00F91CBB"/>
    <w:rsid w:val="00F95FAA"/>
    <w:rsid w:val="00FB0246"/>
    <w:rsid w:val="04DC61DF"/>
    <w:rsid w:val="052D0D82"/>
    <w:rsid w:val="07063021"/>
    <w:rsid w:val="075229E7"/>
    <w:rsid w:val="08FE129F"/>
    <w:rsid w:val="0BB661B1"/>
    <w:rsid w:val="0CF126D7"/>
    <w:rsid w:val="0E9A5E97"/>
    <w:rsid w:val="104A7623"/>
    <w:rsid w:val="11AA71DC"/>
    <w:rsid w:val="12BC165D"/>
    <w:rsid w:val="14EA52B9"/>
    <w:rsid w:val="17005FBC"/>
    <w:rsid w:val="19BF1497"/>
    <w:rsid w:val="1AEA306C"/>
    <w:rsid w:val="1BB45504"/>
    <w:rsid w:val="1EB60E4D"/>
    <w:rsid w:val="20D223D1"/>
    <w:rsid w:val="24276CA4"/>
    <w:rsid w:val="25196727"/>
    <w:rsid w:val="25EC4C7A"/>
    <w:rsid w:val="26843EC9"/>
    <w:rsid w:val="269B0B2A"/>
    <w:rsid w:val="27AC6CA1"/>
    <w:rsid w:val="2916042F"/>
    <w:rsid w:val="29307657"/>
    <w:rsid w:val="36D94EC4"/>
    <w:rsid w:val="3C9559A5"/>
    <w:rsid w:val="3DFC0DB0"/>
    <w:rsid w:val="408D617B"/>
    <w:rsid w:val="44AB69CF"/>
    <w:rsid w:val="465F1BD5"/>
    <w:rsid w:val="4865054B"/>
    <w:rsid w:val="4C0415AB"/>
    <w:rsid w:val="4F210D57"/>
    <w:rsid w:val="4FCB63BE"/>
    <w:rsid w:val="4FF359B6"/>
    <w:rsid w:val="50483F54"/>
    <w:rsid w:val="50853340"/>
    <w:rsid w:val="509272B8"/>
    <w:rsid w:val="52A84A82"/>
    <w:rsid w:val="53645C8E"/>
    <w:rsid w:val="549C661D"/>
    <w:rsid w:val="58150155"/>
    <w:rsid w:val="59D84A16"/>
    <w:rsid w:val="5DF37D17"/>
    <w:rsid w:val="5E4D0A45"/>
    <w:rsid w:val="5E73670D"/>
    <w:rsid w:val="5ED218F5"/>
    <w:rsid w:val="6099346C"/>
    <w:rsid w:val="63512D5C"/>
    <w:rsid w:val="6BE3106E"/>
    <w:rsid w:val="6C433999"/>
    <w:rsid w:val="6C5E3FF7"/>
    <w:rsid w:val="6D036F61"/>
    <w:rsid w:val="6F561104"/>
    <w:rsid w:val="6F6E7579"/>
    <w:rsid w:val="77CB254F"/>
    <w:rsid w:val="79662E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7">
    <w:name w:val="toc 3"/>
    <w:basedOn w:val="1"/>
    <w:next w:val="1"/>
    <w:unhideWhenUsed/>
    <w:qFormat/>
    <w:uiPriority w:val="39"/>
    <w:pPr>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ind w:left="1260" w:leftChars="600"/>
    </w:pPr>
  </w:style>
  <w:style w:type="paragraph" w:styleId="12">
    <w:name w:val="Subtitle"/>
    <w:basedOn w:val="1"/>
    <w:next w:val="1"/>
    <w:link w:val="24"/>
    <w:qFormat/>
    <w:uiPriority w:val="11"/>
    <w:pPr>
      <w:spacing w:before="240" w:after="60" w:line="312" w:lineRule="auto"/>
      <w:jc w:val="center"/>
      <w:outlineLvl w:val="1"/>
    </w:pPr>
    <w:rPr>
      <w:b/>
      <w:bCs/>
      <w:kern w:val="28"/>
      <w:sz w:val="32"/>
      <w:szCs w:val="32"/>
    </w:rPr>
  </w:style>
  <w:style w:type="paragraph" w:styleId="13">
    <w:name w:val="toc 2"/>
    <w:basedOn w:val="1"/>
    <w:next w:val="1"/>
    <w:unhideWhenUsed/>
    <w:qFormat/>
    <w:uiPriority w:val="39"/>
    <w:pPr>
      <w:ind w:left="420" w:leftChars="200"/>
    </w:p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rPr>
  </w:style>
  <w:style w:type="character" w:customStyle="1" w:styleId="19">
    <w:name w:val="页眉 Char"/>
    <w:basedOn w:val="16"/>
    <w:link w:val="10"/>
    <w:qFormat/>
    <w:uiPriority w:val="99"/>
    <w:rPr>
      <w:sz w:val="18"/>
      <w:szCs w:val="18"/>
    </w:rPr>
  </w:style>
  <w:style w:type="character" w:customStyle="1" w:styleId="20">
    <w:name w:val="页脚 Char"/>
    <w:basedOn w:val="16"/>
    <w:link w:val="9"/>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Char"/>
    <w:basedOn w:val="16"/>
    <w:link w:val="14"/>
    <w:qFormat/>
    <w:uiPriority w:val="10"/>
    <w:rPr>
      <w:rFonts w:asciiTheme="majorHAnsi" w:hAnsiTheme="majorHAnsi" w:eastAsiaTheme="majorEastAsia" w:cstheme="majorBidi"/>
      <w:b/>
      <w:bCs/>
      <w:sz w:val="32"/>
      <w:szCs w:val="32"/>
    </w:rPr>
  </w:style>
  <w:style w:type="character" w:customStyle="1" w:styleId="23">
    <w:name w:val="标题 2 Char"/>
    <w:basedOn w:val="16"/>
    <w:link w:val="4"/>
    <w:qFormat/>
    <w:uiPriority w:val="9"/>
    <w:rPr>
      <w:rFonts w:asciiTheme="majorHAnsi" w:hAnsiTheme="majorHAnsi" w:eastAsiaTheme="majorEastAsia" w:cstheme="majorBidi"/>
      <w:b/>
      <w:bCs/>
      <w:sz w:val="32"/>
      <w:szCs w:val="32"/>
    </w:rPr>
  </w:style>
  <w:style w:type="character" w:customStyle="1" w:styleId="24">
    <w:name w:val="副标题 Char"/>
    <w:basedOn w:val="16"/>
    <w:link w:val="12"/>
    <w:qFormat/>
    <w:uiPriority w:val="11"/>
    <w:rPr>
      <w:b/>
      <w:bCs/>
      <w:kern w:val="28"/>
      <w:sz w:val="32"/>
      <w:szCs w:val="32"/>
    </w:rPr>
  </w:style>
  <w:style w:type="character" w:customStyle="1" w:styleId="25">
    <w:name w:val="标题 3 Char"/>
    <w:basedOn w:val="16"/>
    <w:link w:val="5"/>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Char"/>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9">
    <w:name w:val="标题 4 Char"/>
    <w:basedOn w:val="16"/>
    <w:link w:val="6"/>
    <w:qFormat/>
    <w:uiPriority w:val="9"/>
    <w:rPr>
      <w:rFonts w:asciiTheme="majorHAnsi" w:hAnsiTheme="majorHAnsi" w:eastAsiaTheme="majorEastAsia" w:cstheme="majorBidi"/>
      <w:b/>
      <w:bCs/>
      <w:sz w:val="28"/>
      <w:szCs w:val="28"/>
    </w:rPr>
  </w:style>
  <w:style w:type="paragraph" w:customStyle="1" w:styleId="30">
    <w:name w:val="Default"/>
    <w:next w:val="1"/>
    <w:qFormat/>
    <w:uiPriority w:val="0"/>
    <w:pPr>
      <w:widowControl w:val="0"/>
      <w:autoSpaceDE w:val="0"/>
      <w:autoSpaceDN w:val="0"/>
      <w:adjustRightInd w:val="0"/>
    </w:pPr>
    <w:rPr>
      <w:rFonts w:ascii="隶书" w:hAnsi="Calibri" w:eastAsia="隶书" w:cs="隶书"/>
      <w:color w:val="000000"/>
      <w:sz w:val="24"/>
      <w:szCs w:val="24"/>
      <w:lang w:val="en-US" w:eastAsia="zh-CN" w:bidi="ar-SA"/>
    </w:rPr>
  </w:style>
  <w:style w:type="character" w:customStyle="1" w:styleId="31">
    <w:name w:val="批注框文本 Char"/>
    <w:basedOn w:val="16"/>
    <w:link w:val="8"/>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13681</Words>
  <Characters>14892</Characters>
  <Lines>113</Lines>
  <Paragraphs>31</Paragraphs>
  <TotalTime>0</TotalTime>
  <ScaleCrop>false</ScaleCrop>
  <LinksUpToDate>false</LinksUpToDate>
  <CharactersWithSpaces>15330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2022-04-27T11:52:00Z</dcterms:created>
  <dc:creator>jc</dc:creator>
  <cp:lastModifiedBy>A.X</cp:lastModifiedBy>
  <dcterms:modified xsi:type="dcterms:W3CDTF">2022-05-26T12:04:01Z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EA47099F12BF400EBAD2569EA9B62F58</vt:lpwstr>
  </property>
</Properties>
</file>